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33"/>
      <w:bookmarkStart w:id="3" w:name="OLE_LINK12"/>
      <w:bookmarkStart w:id="4" w:name="OLE_LINK13"/>
      <w:bookmarkStart w:id="5" w:name="OLE_LINK34"/>
      <w:r>
        <w:rPr>
          <w:rFonts w:hint="eastAsia" w:ascii="Arial" w:hAnsi="Arial" w:eastAsia="宋体"/>
          <w:b/>
          <w:lang w:eastAsia="ja-JP"/>
        </w:rPr>
        <w:t xml:space="preserve">3GPP TSG RAN WG1 </w:t>
      </w:r>
      <w:r>
        <w:rPr>
          <w:rFonts w:hint="eastAsia" w:ascii="Arial" w:hAnsi="Arial" w:eastAsia="宋体"/>
          <w:b/>
        </w:rPr>
        <w:t xml:space="preserve">meeting </w:t>
      </w:r>
      <w:r>
        <w:rPr>
          <w:rFonts w:hint="eastAsia" w:ascii="Arial" w:hAnsi="Arial" w:eastAsia="宋体"/>
          <w:b/>
          <w:lang w:eastAsia="ja-JP"/>
        </w:rPr>
        <w:t>#</w:t>
      </w:r>
      <w:r>
        <w:rPr>
          <w:rFonts w:hint="eastAsia" w:ascii="Arial" w:hAnsi="Arial" w:eastAsia="宋体"/>
          <w:b/>
        </w:rPr>
        <w:t xml:space="preserve">104b-e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R1-210</w:t>
      </w:r>
      <w:r>
        <w:rPr>
          <w:rFonts w:hint="eastAsia" w:ascii="Arial" w:hAnsi="Arial" w:eastAsia="宋体"/>
          <w:b/>
        </w:rPr>
        <w:t>2664</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April 12</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20</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rPr>
          <w:lang w:val="en-US"/>
        </w:rPr>
      </w:pPr>
      <w:r>
        <w:rPr>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HST-SFN deployment</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6"/>
              <w:snapToGrid w:val="0"/>
              <w:spacing w:after="0"/>
              <w:ind w:left="0" w:leftChars="0"/>
              <w:jc w:val="both"/>
              <w:rPr>
                <w:rFonts w:ascii="Times New Roman" w:hAnsi="Times New Roman"/>
                <w:i/>
                <w:iCs/>
                <w:sz w:val="20"/>
                <w:szCs w:val="20"/>
              </w:rPr>
            </w:pPr>
            <w:r>
              <w:rPr>
                <w:rFonts w:ascii="Times New Roman" w:hAnsi="Times New Roman"/>
                <w:i/>
                <w:iCs/>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800" w:leftChars="0"/>
              <w:jc w:val="both"/>
              <w:rPr>
                <w:rFonts w:ascii="Times New Roman" w:hAnsi="Times New Roman"/>
                <w:i/>
                <w:iCs/>
                <w:sz w:val="20"/>
                <w:szCs w:val="20"/>
              </w:rPr>
            </w:pPr>
            <w:r>
              <w:rPr>
                <w:rFonts w:ascii="Times New Roman" w:hAnsi="Times New Roman"/>
                <w:i/>
                <w:iCs/>
                <w:sz w:val="20"/>
                <w:szCs w:val="20"/>
              </w:rPr>
              <w:t>Enhancement to support HST-SFN deployment scenario:</w:t>
            </w:r>
          </w:p>
          <w:p>
            <w:pPr>
              <w:pStyle w:val="96"/>
              <w:numPr>
                <w:ilvl w:val="2"/>
                <w:numId w:val="3"/>
              </w:numPr>
              <w:snapToGrid w:val="0"/>
              <w:spacing w:after="0"/>
              <w:ind w:left="1060"/>
              <w:jc w:val="both"/>
              <w:rPr>
                <w:rFonts w:ascii="Times New Roman" w:hAnsi="Times New Roman"/>
                <w:i/>
                <w:iCs/>
                <w:sz w:val="20"/>
                <w:szCs w:val="20"/>
              </w:rPr>
            </w:pPr>
            <w:r>
              <w:rPr>
                <w:rFonts w:ascii="Times New Roman" w:hAnsi="Times New Roman"/>
                <w:i/>
                <w:iCs/>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i/>
                <w:iCs/>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To fairly compare the performance among companies, the consensus was achieved for simulation assumptions in RAN1#102e meeting</w:t>
      </w:r>
      <w:r>
        <w:rPr>
          <w:rFonts w:ascii="Times New Roman" w:hAnsi="Times New Roman"/>
          <w:sz w:val="20"/>
          <w:szCs w:val="20"/>
        </w:rPr>
        <w:t xml:space="preserve"> </w:t>
      </w:r>
      <w:r>
        <w:rPr>
          <w:rFonts w:hint="eastAsia" w:ascii="Times New Roman" w:hAnsi="Times New Roman"/>
          <w:sz w:val="20"/>
          <w:szCs w:val="20"/>
        </w:rPr>
        <w:t>[2]. Meanwhile, some agreements were also made to categorize the potential enhancement solutions for MTRP HST scenario</w:t>
      </w:r>
      <w:r>
        <w:rPr>
          <w:rFonts w:ascii="Times New Roman" w:hAnsi="Times New Roman"/>
          <w:sz w:val="20"/>
          <w:szCs w:val="20"/>
        </w:rPr>
        <w:t xml:space="preserve"> in RAN1#103e</w:t>
      </w:r>
      <w:r>
        <w:rPr>
          <w:rFonts w:hint="eastAsia" w:ascii="Times New Roman" w:hAnsi="Times New Roman"/>
          <w:sz w:val="20"/>
          <w:szCs w:val="20"/>
        </w:rPr>
        <w:t xml:space="preserve"> [3] and RAN1#104e</w:t>
      </w:r>
      <w:r>
        <w:rPr>
          <w:rFonts w:ascii="Times New Roman" w:hAnsi="Times New Roman"/>
          <w:sz w:val="20"/>
          <w:szCs w:val="20"/>
        </w:rPr>
        <w:t xml:space="preserve"> </w:t>
      </w:r>
      <w:r>
        <w:rPr>
          <w:rFonts w:hint="eastAsia" w:ascii="Times New Roman" w:hAnsi="Times New Roman"/>
          <w:sz w:val="20"/>
          <w:szCs w:val="20"/>
        </w:rPr>
        <w:t>[4].</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proposals and corresponding simulation results to support enhancements for HST-SFN deployment. </w:t>
      </w:r>
    </w:p>
    <w:p>
      <w:pPr>
        <w:pStyle w:val="2"/>
        <w:snapToGrid w:val="0"/>
        <w:rPr>
          <w:lang w:val="en-US"/>
        </w:rPr>
      </w:pPr>
      <w:r>
        <w:rPr>
          <w:lang w:val="en-US"/>
        </w:rPr>
        <w:t>Discussion</w:t>
      </w:r>
    </w:p>
    <w:p>
      <w:pPr>
        <w:pStyle w:val="3"/>
        <w:numPr>
          <w:ilvl w:val="1"/>
          <w:numId w:val="4"/>
        </w:numPr>
        <w:snapToGrid w:val="0"/>
        <w:spacing w:before="180" w:beforeLines="50" w:after="180" w:afterLines="50" w:line="240" w:lineRule="auto"/>
        <w:rPr>
          <w:rFonts w:ascii="Arial" w:hAnsi="Arial" w:cs="Arial"/>
          <w:sz w:val="24"/>
          <w:szCs w:val="24"/>
          <w:lang w:val="en-US"/>
        </w:rPr>
      </w:pPr>
      <w:r>
        <w:rPr>
          <w:rFonts w:ascii="Arial" w:hAnsi="Arial" w:cs="Arial"/>
          <w:sz w:val="24"/>
          <w:szCs w:val="24"/>
          <w:lang w:val="en-US"/>
        </w:rPr>
        <w:t>SFN</w:t>
      </w:r>
      <w:r>
        <w:rPr>
          <w:rFonts w:hint="eastAsia" w:ascii="Arial" w:hAnsi="Arial" w:cs="Arial"/>
          <w:sz w:val="24"/>
          <w:szCs w:val="24"/>
          <w:lang w:val="en-US"/>
        </w:rPr>
        <w:t xml:space="preserve"> for PDSCH</w:t>
      </w:r>
      <w:r>
        <w:rPr>
          <w:rFonts w:ascii="Arial" w:hAnsi="Arial" w:cs="Arial"/>
          <w:sz w:val="24"/>
          <w:szCs w:val="24"/>
          <w:lang w:val="en-US"/>
        </w:rPr>
        <w:t>/PDCCH</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SFN based MTRP is a very typical solution to enhance transmission reliability in HST scenario, where multiple TRPs transmit the same data to a UE based on the same DMRS port(s). Based on Rel-15/16 specification, one effective TRS can be configured to UE in order to implement SFN based solution in HST scenario. </w:t>
      </w:r>
      <w:r>
        <w:rPr>
          <w:rFonts w:ascii="Times New Roman" w:hAnsi="Times New Roman"/>
          <w:sz w:val="20"/>
          <w:szCs w:val="20"/>
        </w:rPr>
        <w:t>However,</w:t>
      </w:r>
      <w:r>
        <w:rPr>
          <w:rFonts w:hint="eastAsia" w:ascii="Times New Roman" w:hAnsi="Times New Roman"/>
          <w:sz w:val="20"/>
          <w:szCs w:val="20"/>
        </w:rPr>
        <w:t xml:space="preserve"> from the simulation results and analysis </w:t>
      </w:r>
      <w:bookmarkStart w:id="6" w:name="OLE_LINK9"/>
      <w:r>
        <w:rPr>
          <w:rFonts w:hint="eastAsia" w:ascii="Times New Roman" w:hAnsi="Times New Roman"/>
          <w:sz w:val="20"/>
          <w:szCs w:val="20"/>
        </w:rPr>
        <w:t>in our previous contribution [</w:t>
      </w:r>
      <w:bookmarkEnd w:id="6"/>
      <w:r>
        <w:rPr>
          <w:rFonts w:hint="eastAsia" w:ascii="Times New Roman" w:hAnsi="Times New Roman"/>
          <w:sz w:val="20"/>
          <w:szCs w:val="20"/>
        </w:rPr>
        <w:t xml:space="preserve">5], one effective TRS may provide incorrect frequency offset estimation and further cause performance degradation. So in order to solve this problem, two candidate solutions from UE side and gNB side respectively can be considered as shown in the </w:t>
      </w:r>
      <w:r>
        <w:rPr>
          <w:rFonts w:ascii="Times New Roman" w:hAnsi="Times New Roman"/>
          <w:sz w:val="20"/>
          <w:szCs w:val="20"/>
        </w:rPr>
        <w:t>two sub-bullets of WID</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w:t>
      </w:r>
      <w:r>
        <w:rPr>
          <w:rFonts w:hint="eastAsia" w:ascii="Times New Roman" w:hAnsi="Times New Roman"/>
          <w:sz w:val="20"/>
          <w:szCs w:val="20"/>
        </w:rPr>
        <w:t xml:space="preserve"> RAN1#103 e-meeting, the agreements for DMRS ports and QCL relation are described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#1:</w:t>
            </w:r>
          </w:p>
          <w:p>
            <w:pPr>
              <w:snapToGrid w:val="0"/>
              <w:spacing w:after="0" w:line="240" w:lineRule="auto"/>
              <w:rPr>
                <w:rFonts w:ascii="Times New Roman" w:hAnsi="Times New Roman"/>
                <w:i/>
                <w:iCs/>
                <w:sz w:val="20"/>
                <w:szCs w:val="20"/>
                <w:lang w:val="en-GB"/>
              </w:rPr>
            </w:pPr>
            <w:r>
              <w:rPr>
                <w:rFonts w:ascii="Times New Roman" w:hAnsi="Times New Roman"/>
                <w:i/>
                <w:iCs/>
                <w:sz w:val="20"/>
                <w:szCs w:val="20"/>
              </w:rPr>
              <w:t>Support at least the following configuration for HST scenario in Rel-17</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rPr>
              <w:t>The same DMRS port(s) can associate with multiple TCI states</w:t>
            </w:r>
          </w:p>
          <w:p>
            <w:pPr>
              <w:numPr>
                <w:ilvl w:val="1"/>
                <w:numId w:val="5"/>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other details </w:t>
            </w:r>
          </w:p>
          <w:p>
            <w:pPr>
              <w:snapToGrid w:val="0"/>
              <w:spacing w:after="0" w:line="240" w:lineRule="auto"/>
              <w:rPr>
                <w:rFonts w:ascii="Times New Roman" w:hAnsi="Times New Roman"/>
                <w:i/>
                <w:iCs/>
                <w:sz w:val="20"/>
                <w:szCs w:val="20"/>
              </w:rPr>
            </w:pPr>
            <w:r>
              <w:rPr>
                <w:rFonts w:ascii="Times New Roman" w:hAnsi="Times New Roman"/>
                <w:i/>
                <w:iCs/>
                <w:sz w:val="20"/>
                <w:szCs w:val="20"/>
              </w:rPr>
              <w:t>Note: DMRS and PDCCH/PDSCH from different TRPs are transmitted in SFN manner</w:t>
            </w:r>
          </w:p>
          <w:p>
            <w:pPr>
              <w:snapToGrid w:val="0"/>
              <w:spacing w:after="0"/>
              <w:rPr>
                <w:rFonts w:ascii="Times New Roman" w:hAnsi="Times New Roman"/>
                <w:b/>
                <w:bCs/>
                <w:i/>
                <w:iCs/>
                <w:sz w:val="20"/>
                <w:szCs w:val="20"/>
                <w:u w:val="single"/>
              </w:rPr>
            </w:pPr>
          </w:p>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#2:</w:t>
            </w:r>
          </w:p>
          <w:p>
            <w:pPr>
              <w:pStyle w:val="96"/>
              <w:snapToGrid w:val="0"/>
              <w:spacing w:after="0" w:line="240" w:lineRule="auto"/>
              <w:ind w:left="0" w:leftChars="0"/>
              <w:jc w:val="both"/>
              <w:rPr>
                <w:rFonts w:ascii="Times New Roman" w:hAnsi="Times New Roman"/>
                <w:i/>
                <w:iCs/>
                <w:sz w:val="20"/>
                <w:szCs w:val="20"/>
                <w:lang w:eastAsia="ko-KR"/>
              </w:rPr>
            </w:pPr>
            <w:r>
              <w:rPr>
                <w:rFonts w:ascii="Times New Roman" w:hAnsi="Times New Roman"/>
                <w:i/>
                <w:iCs/>
                <w:sz w:val="20"/>
                <w:szCs w:val="20"/>
                <w:lang w:eastAsia="ko-KR"/>
              </w:rPr>
              <w:t>When the same DMRS port(s) are associated with two TCI states containing TRS as source reference signal, at least one variant is supported for Rel-17 HST-SFN scenario based on further evaluations</w:t>
            </w:r>
          </w:p>
          <w:p>
            <w:pPr>
              <w:numPr>
                <w:ilvl w:val="0"/>
                <w:numId w:val="5"/>
              </w:numPr>
              <w:snapToGrid w:val="0"/>
              <w:spacing w:after="0" w:line="240" w:lineRule="auto"/>
              <w:rPr>
                <w:rFonts w:ascii="Times New Roman" w:hAnsi="Times New Roman"/>
                <w:i/>
                <w:iCs/>
                <w:sz w:val="20"/>
                <w:szCs w:val="20"/>
              </w:rPr>
            </w:pPr>
            <w:r>
              <w:rPr>
                <w:rFonts w:ascii="Times New Roman" w:hAnsi="Times New Roman"/>
                <w:b/>
                <w:i/>
                <w:iCs/>
                <w:sz w:val="20"/>
                <w:szCs w:val="20"/>
              </w:rPr>
              <w:t>Variant A</w:t>
            </w:r>
            <w:r>
              <w:rPr>
                <w:rFonts w:ascii="Times New Roman" w:hAnsi="Times New Roman"/>
                <w:i/>
                <w:iCs/>
                <w:sz w:val="20"/>
                <w:szCs w:val="20"/>
              </w:rPr>
              <w:t>: One of the TCI state can be associated with {average delay, delay spread} and another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B</w:t>
            </w:r>
            <w:r>
              <w:rPr>
                <w:rFonts w:ascii="Times New Roman" w:hAnsi="Times New Roman"/>
                <w:i/>
                <w:iCs/>
                <w:sz w:val="20"/>
                <w:szCs w:val="20"/>
                <w:lang w:eastAsia="ko-KR"/>
              </w:rPr>
              <w:t>: One of the TCI state can be associated with {average delay, delay spread} and another TCI state with {Doppler shift, Doppler spread} (i.e., QCL-TypeB)</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C</w:t>
            </w:r>
            <w:r>
              <w:rPr>
                <w:rFonts w:ascii="Times New Roman" w:hAnsi="Times New Roman"/>
                <w:i/>
                <w:iCs/>
                <w:sz w:val="20"/>
                <w:szCs w:val="20"/>
                <w:lang w:eastAsia="ko-KR"/>
              </w:rPr>
              <w:t>: One of the TCI state can be associated with {delay spread}  and another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b/>
                <w:bCs/>
                <w:i/>
                <w:iCs/>
                <w:sz w:val="20"/>
                <w:szCs w:val="20"/>
                <w:lang w:eastAsia="ko-KR"/>
              </w:rPr>
              <w:t>Variant E</w:t>
            </w:r>
            <w:r>
              <w:rPr>
                <w:rFonts w:ascii="Times New Roman" w:hAnsi="Times New Roman"/>
                <w:i/>
                <w:iCs/>
                <w:sz w:val="20"/>
                <w:szCs w:val="20"/>
                <w:lang w:eastAsia="ko-KR"/>
              </w:rPr>
              <w:t>: Both TCI states can be associated with {average delay, delay spread, Doppler shift, Doppler spread} (i.e., QCL-TypeA)</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FFS: Indication method to apply QCL, e.g., via new QCL-type, or reuse existing QCL-type while UE to ignore certain QCL properties</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Each TCI state in the above variants may be additionally associated with {Spatial Rx parameter} (i.e., QCL-TypeD)</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Companies are encouraged to provide evaluation results for the above variants based on agreed EVM from RAN1#102e meeting</w:t>
            </w:r>
          </w:p>
          <w:p>
            <w:pPr>
              <w:numPr>
                <w:ilvl w:val="0"/>
                <w:numId w:val="5"/>
              </w:numPr>
              <w:snapToGrid w:val="0"/>
              <w:spacing w:after="0" w:line="240" w:lineRule="auto"/>
              <w:rPr>
                <w:rFonts w:ascii="Times New Roman" w:hAnsi="Times New Roman"/>
                <w:i/>
                <w:iCs/>
                <w:sz w:val="20"/>
                <w:szCs w:val="20"/>
              </w:rPr>
            </w:pPr>
            <w:r>
              <w:rPr>
                <w:rFonts w:ascii="Times New Roman" w:hAnsi="Times New Roman"/>
                <w:i/>
                <w:iCs/>
                <w:sz w:val="20"/>
                <w:szCs w:val="20"/>
                <w:lang w:eastAsia="ko-KR"/>
              </w:rPr>
              <w:t>Note: Above variants are applicable to scheme 1 and/or TRP based pre-compensation as a reference for evaluation.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i/>
                <w:iCs/>
                <w:sz w:val="20"/>
                <w:szCs w:val="20"/>
                <w:lang w:eastAsia="ko-KR"/>
              </w:rPr>
              <w:t>This agreement is for the purpose of evaluation and does not imply the support or lack of support of scheme 1 and/or TRP based pre-compensation</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RAN1#104 e-meeting, </w:t>
      </w:r>
      <w:r>
        <w:rPr>
          <w:rFonts w:ascii="Times New Roman" w:hAnsi="Times New Roman"/>
          <w:sz w:val="20"/>
          <w:szCs w:val="20"/>
        </w:rPr>
        <w:t>scheme 1, i.e. SFN based UE side frequency offset estimation is confirmed. The</w:t>
      </w:r>
      <w:r>
        <w:rPr>
          <w:rFonts w:hint="eastAsia" w:ascii="Times New Roman" w:hAnsi="Times New Roman"/>
          <w:sz w:val="20"/>
          <w:szCs w:val="20"/>
        </w:rPr>
        <w:t xml:space="preserve"> agreements for scheme 1 and QCL assumption are described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iCs/>
                <w:sz w:val="20"/>
                <w:szCs w:val="20"/>
                <w:u w:val="single"/>
              </w:rPr>
            </w:pPr>
            <w:bookmarkStart w:id="7" w:name="OLE_LINK6"/>
            <w:r>
              <w:rPr>
                <w:rFonts w:ascii="Times New Roman" w:hAnsi="Times New Roman"/>
                <w:b/>
                <w:bCs/>
                <w:i/>
                <w:iCs/>
                <w:sz w:val="20"/>
                <w:szCs w:val="20"/>
                <w:u w:val="single"/>
              </w:rPr>
              <w:t>Agreement</w:t>
            </w:r>
            <w:r>
              <w:rPr>
                <w:rFonts w:hint="eastAsia" w:ascii="Times New Roman" w:hAnsi="Times New Roman"/>
                <w:b/>
                <w:bCs/>
                <w:i/>
                <w:iCs/>
                <w:sz w:val="20"/>
                <w:szCs w:val="20"/>
                <w:u w:val="single"/>
              </w:rPr>
              <w:t>#3:</w:t>
            </w:r>
          </w:p>
          <w:bookmarkEnd w:id="7"/>
          <w:p>
            <w:pPr>
              <w:snapToGrid w:val="0"/>
              <w:spacing w:after="0" w:line="240" w:lineRule="auto"/>
              <w:rPr>
                <w:rFonts w:ascii="Times New Roman" w:hAnsi="Times New Roman"/>
                <w:i/>
                <w:iCs/>
                <w:sz w:val="20"/>
                <w:szCs w:val="20"/>
              </w:rPr>
            </w:pPr>
            <w:r>
              <w:rPr>
                <w:rFonts w:ascii="Times New Roman" w:hAnsi="Times New Roman"/>
                <w:i/>
                <w:iCs/>
                <w:sz w:val="20"/>
                <w:szCs w:val="20"/>
              </w:rPr>
              <w:t>Scheme 1 is supported in Rel-17</w:t>
            </w:r>
          </w:p>
          <w:p>
            <w:pPr>
              <w:pStyle w:val="98"/>
              <w:numPr>
                <w:ilvl w:val="0"/>
                <w:numId w:val="6"/>
              </w:numPr>
              <w:snapToGri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TRS is transmitted in TRP-specific / non-SFN manner</w:t>
            </w:r>
          </w:p>
          <w:p>
            <w:pPr>
              <w:pStyle w:val="98"/>
              <w:numPr>
                <w:ilvl w:val="0"/>
                <w:numId w:val="6"/>
              </w:numPr>
              <w:snapToGrid w:val="0"/>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DM-RS and PDCCH/PDSCH from TRPs are transmitted in SFN manner</w:t>
            </w:r>
          </w:p>
          <w:p>
            <w:pPr>
              <w:pStyle w:val="98"/>
              <w:numPr>
                <w:ilvl w:val="0"/>
                <w:numId w:val="6"/>
              </w:numPr>
              <w:snapToGrid w:val="0"/>
              <w:spacing w:after="180" w:afterLines="50" w:line="240" w:lineRule="auto"/>
              <w:ind w:left="726" w:hanging="363"/>
              <w:jc w:val="both"/>
              <w:rPr>
                <w:rFonts w:ascii="Times New Roman" w:hAnsi="Times New Roman" w:cs="Times New Roman"/>
                <w:i/>
                <w:iCs/>
                <w:sz w:val="20"/>
                <w:szCs w:val="20"/>
              </w:rPr>
            </w:pPr>
            <w:r>
              <w:rPr>
                <w:rFonts w:ascii="Times New Roman" w:hAnsi="Times New Roman" w:cs="Times New Roman"/>
                <w:i/>
                <w:iCs/>
                <w:sz w:val="20"/>
                <w:szCs w:val="20"/>
              </w:rPr>
              <w:t>FFS other details</w:t>
            </w:r>
          </w:p>
          <w:p>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#4:</w:t>
            </w:r>
          </w:p>
          <w:p>
            <w:pPr>
              <w:snapToGrid w:val="0"/>
              <w:spacing w:after="180" w:afterLines="50" w:line="240" w:lineRule="auto"/>
              <w:rPr>
                <w:rFonts w:ascii="Times New Roman" w:hAnsi="Times New Roman"/>
                <w:sz w:val="20"/>
                <w:szCs w:val="20"/>
              </w:rPr>
            </w:pPr>
            <w:r>
              <w:rPr>
                <w:rFonts w:ascii="Times New Roman" w:hAnsi="Times New Roman"/>
                <w:i/>
                <w:iCs/>
                <w:sz w:val="20"/>
                <w:szCs w:val="20"/>
              </w:rPr>
              <w:t>For scheme 1 and SFN transmission of PDCCH support Variant E for QCL assumption in TCI state when TRS is used as source RS</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From the above agreements, for UE based solution Variant E for QCL assumption in the TCI state is </w:t>
      </w:r>
      <w:r>
        <w:rPr>
          <w:rFonts w:ascii="Times New Roman" w:hAnsi="Times New Roman"/>
          <w:sz w:val="20"/>
          <w:szCs w:val="20"/>
        </w:rPr>
        <w:t xml:space="preserve">used. However, </w:t>
      </w:r>
      <w:r>
        <w:rPr>
          <w:rFonts w:hint="eastAsia" w:ascii="Times New Roman" w:hAnsi="Times New Roman"/>
          <w:sz w:val="20"/>
          <w:szCs w:val="20"/>
        </w:rPr>
        <w:t xml:space="preserve">the network based solution (frequency </w:t>
      </w:r>
      <w:r>
        <w:rPr>
          <w:rFonts w:ascii="Times New Roman" w:hAnsi="Times New Roman"/>
          <w:sz w:val="20"/>
          <w:szCs w:val="20"/>
        </w:rPr>
        <w:t>offset</w:t>
      </w:r>
      <w:r>
        <w:rPr>
          <w:rFonts w:hint="eastAsia" w:ascii="Times New Roman" w:hAnsi="Times New Roman"/>
          <w:sz w:val="20"/>
          <w:szCs w:val="20"/>
        </w:rPr>
        <w:t xml:space="preserve"> pre-compensation)</w:t>
      </w:r>
      <w:r>
        <w:rPr>
          <w:rFonts w:ascii="Times New Roman" w:hAnsi="Times New Roman"/>
          <w:sz w:val="20"/>
          <w:szCs w:val="20"/>
        </w:rPr>
        <w:t xml:space="preserve"> is still FFS</w:t>
      </w:r>
      <w:r>
        <w:rPr>
          <w:rFonts w:hint="eastAsia" w:ascii="Times New Roman" w:hAnsi="Times New Roman"/>
          <w:sz w:val="20"/>
          <w:szCs w:val="20"/>
        </w:rPr>
        <w:t>, different variants above for QCL assumptions may be needed as we analyze in the remaining subsections.</w:t>
      </w:r>
    </w:p>
    <w:p>
      <w:pPr>
        <w:pStyle w:val="4"/>
        <w:snapToGrid w:val="0"/>
        <w:spacing w:before="180" w:beforeLines="50" w:after="180" w:afterLines="50" w:line="240" w:lineRule="auto"/>
        <w:rPr>
          <w:rFonts w:ascii="Times New Roman" w:hAnsi="Times New Roman"/>
          <w:sz w:val="24"/>
          <w:szCs w:val="24"/>
          <w:lang w:val="en-US"/>
        </w:rPr>
      </w:pPr>
      <w:r>
        <w:rPr>
          <w:rFonts w:ascii="Times New Roman" w:hAnsi="Times New Roman"/>
          <w:sz w:val="24"/>
          <w:szCs w:val="24"/>
          <w:lang w:val="en-US"/>
        </w:rPr>
        <w:t>Frequency offset pre-compensation at gNB side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pre-compensation procedure is shown in Figure 1 and several steps are listed as following to elaborate the solution.</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1: </w:t>
      </w:r>
      <w:bookmarkStart w:id="8" w:name="OLE_LINK8"/>
      <w:r>
        <w:rPr>
          <w:rFonts w:hint="eastAsia" w:ascii="Times New Roman" w:hAnsi="Times New Roman"/>
          <w:sz w:val="20"/>
          <w:szCs w:val="20"/>
        </w:rPr>
        <w:t>TRS0</w:t>
      </w:r>
      <w:bookmarkEnd w:id="8"/>
      <w:r>
        <w:rPr>
          <w:rFonts w:hint="eastAsia" w:ascii="Times New Roman" w:hAnsi="Times New Roman"/>
          <w:sz w:val="20"/>
          <w:szCs w:val="20"/>
        </w:rPr>
        <w:t xml:space="preserve"> is first transmitted from TRP0. Based on estimation of TRS</w:t>
      </w:r>
      <w:r>
        <w:rPr>
          <w:rFonts w:hint="eastAsia" w:ascii="Times New Roman" w:hAnsi="Times New Roman"/>
          <w:sz w:val="20"/>
          <w:szCs w:val="20"/>
          <w:vertAlign w:val="subscript"/>
        </w:rPr>
        <w:t>0</w:t>
      </w:r>
      <w:r>
        <w:rPr>
          <w:rFonts w:hint="eastAsia" w:ascii="Times New Roman" w:hAnsi="Times New Roman"/>
          <w:sz w:val="20"/>
          <w:szCs w:val="20"/>
        </w:rPr>
        <w:t xml:space="preserve">, UE modulate its center frequency for UL signal transmission, e.g. SRS. Because of Doppler shift between UE and TRP0, the center frequency of SRS transmission will be </w:t>
      </w:r>
      <w:bookmarkStart w:id="9" w:name="OLE_LINK1"/>
      <w:r>
        <w:rPr>
          <w:rFonts w:hint="eastAsia" w:ascii="Times New Roman" w:hAnsi="Times New Roman"/>
          <w:position w:val="-10"/>
          <w:sz w:val="20"/>
          <w:szCs w:val="20"/>
        </w:rPr>
        <w:object>
          <v:shape id="_x0000_i1025" o:spt="75" type="#_x0000_t75" style="height:18.85pt;width:36.9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bookmarkEnd w:id="9"/>
      <w:r>
        <w:rPr>
          <w:rFonts w:hint="eastAsia" w:ascii="Times New Roman" w:hAnsi="Times New Roman"/>
          <w:sz w:val="20"/>
          <w:szCs w:val="20"/>
        </w:rPr>
        <w:t>;</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2:</w:t>
      </w:r>
      <w:r>
        <w:rPr>
          <w:rFonts w:ascii="Times New Roman" w:hAnsi="Times New Roman"/>
          <w:sz w:val="20"/>
          <w:szCs w:val="20"/>
        </w:rPr>
        <w:t xml:space="preserve"> </w:t>
      </w:r>
      <w:r>
        <w:rPr>
          <w:rFonts w:hint="eastAsia" w:ascii="Times New Roman" w:hAnsi="Times New Roman"/>
          <w:sz w:val="20"/>
          <w:szCs w:val="20"/>
        </w:rPr>
        <w:t>TRP0</w:t>
      </w:r>
      <w:bookmarkStart w:id="10" w:name="OLE_LINK2"/>
      <w:r>
        <w:rPr>
          <w:rFonts w:hint="eastAsia" w:ascii="Times New Roman" w:hAnsi="Times New Roman"/>
          <w:sz w:val="20"/>
          <w:szCs w:val="20"/>
        </w:rPr>
        <w:t xml:space="preserve"> receives SRS on the center frequency </w:t>
      </w:r>
      <w:r>
        <w:rPr>
          <w:rFonts w:hint="eastAsia" w:ascii="Times New Roman" w:hAnsi="Times New Roman"/>
          <w:position w:val="-10"/>
          <w:sz w:val="20"/>
          <w:szCs w:val="20"/>
        </w:rPr>
        <w:object>
          <v:shape id="_x0000_i1026" o:spt="75" type="#_x0000_t75" style="height:18.85pt;width:41.9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bookmarkEnd w:id="10"/>
      <w:r>
        <w:rPr>
          <w:rFonts w:hint="eastAsia" w:ascii="Times New Roman" w:hAnsi="Times New Roman"/>
          <w:sz w:val="20"/>
          <w:szCs w:val="20"/>
        </w:rPr>
        <w:t xml:space="preserve">, and TRP1 received SRS on the center frequency </w:t>
      </w:r>
      <w:bookmarkStart w:id="11" w:name="OLE_LINK16"/>
      <w:r>
        <w:rPr>
          <w:rFonts w:hint="eastAsia" w:ascii="Times New Roman" w:hAnsi="Times New Roman"/>
          <w:position w:val="-10"/>
          <w:sz w:val="20"/>
          <w:szCs w:val="20"/>
        </w:rPr>
        <w:object>
          <v:shape id="_x0000_i1027" o:spt="75" type="#_x0000_t75" style="height:18.85pt;width:41.9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bookmarkEnd w:id="11"/>
      <w:r>
        <w:rPr>
          <w:rFonts w:hint="eastAsia" w:ascii="Times New Roman" w:hAnsi="Times New Roman"/>
          <w:sz w:val="20"/>
          <w:szCs w:val="20"/>
        </w:rPr>
        <w:t>;</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3: TRP1 can get the frequency offset </w:t>
      </w:r>
      <w:r>
        <w:rPr>
          <w:rFonts w:hint="eastAsia" w:ascii="Times New Roman" w:hAnsi="Times New Roman"/>
          <w:position w:val="-10"/>
          <w:sz w:val="20"/>
          <w:szCs w:val="20"/>
        </w:rPr>
        <w:object>
          <v:shape id="_x0000_i1028" o:spt="75" type="#_x0000_t75" style="height:18.85pt;width:39.2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sz w:val="20"/>
          <w:szCs w:val="20"/>
        </w:rPr>
        <w:t xml:space="preserve"> between TRP1 and TRP0;</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4: TRP1 do</w:t>
      </w:r>
      <w:r>
        <w:rPr>
          <w:rFonts w:ascii="Times New Roman" w:hAnsi="Times New Roman"/>
          <w:sz w:val="20"/>
          <w:szCs w:val="20"/>
        </w:rPr>
        <w:t>es</w:t>
      </w:r>
      <w:r>
        <w:rPr>
          <w:rFonts w:hint="eastAsia" w:ascii="Times New Roman" w:hAnsi="Times New Roman"/>
          <w:sz w:val="20"/>
          <w:szCs w:val="20"/>
        </w:rPr>
        <w:t xml:space="preserve"> frequency offset pre-compensation on PDSCH and DMRS so that the </w:t>
      </w:r>
      <w:r>
        <w:rPr>
          <w:rFonts w:ascii="Times New Roman" w:hAnsi="Times New Roman"/>
          <w:sz w:val="20"/>
          <w:szCs w:val="20"/>
        </w:rPr>
        <w:t>frequency</w:t>
      </w:r>
      <w:r>
        <w:rPr>
          <w:rFonts w:hint="eastAsia" w:ascii="Times New Roman" w:hAnsi="Times New Roman"/>
          <w:sz w:val="20"/>
          <w:szCs w:val="20"/>
        </w:rPr>
        <w:t xml:space="preserve"> offset of PDSCH and DMRS from two TRPs are the same, but TRS1</w:t>
      </w:r>
      <w:r>
        <w:rPr>
          <w:rFonts w:hint="eastAsia" w:ascii="Times New Roman" w:hAnsi="Times New Roman"/>
          <w:sz w:val="20"/>
          <w:szCs w:val="20"/>
          <w:vertAlign w:val="subscript"/>
        </w:rPr>
        <w:t xml:space="preserve"> </w:t>
      </w:r>
      <w:r>
        <w:rPr>
          <w:rFonts w:hint="eastAsia" w:ascii="Times New Roman" w:hAnsi="Times New Roman"/>
          <w:sz w:val="20"/>
          <w:szCs w:val="20"/>
        </w:rPr>
        <w:t xml:space="preserve">is still transmitted on </w:t>
      </w:r>
      <w:r>
        <w:rPr>
          <w:rFonts w:hint="eastAsia" w:ascii="Times New Roman" w:hAnsi="Times New Roman"/>
          <w:i/>
          <w:iCs/>
          <w:sz w:val="20"/>
          <w:szCs w:val="20"/>
        </w:rPr>
        <w:t>f</w:t>
      </w:r>
      <w:r>
        <w:rPr>
          <w:rFonts w:hint="eastAsia" w:ascii="Times New Roman" w:hAnsi="Times New Roman"/>
          <w:i/>
          <w:iCs/>
          <w:sz w:val="20"/>
          <w:szCs w:val="20"/>
          <w:vertAlign w:val="subscript"/>
        </w:rPr>
        <w:t>c</w:t>
      </w:r>
      <w:r>
        <w:rPr>
          <w:rFonts w:hint="eastAsia" w:ascii="Times New Roman" w:hAnsi="Times New Roman"/>
          <w:sz w:val="20"/>
          <w:szCs w:val="20"/>
        </w:rPr>
        <w:t xml:space="preserve">. Since the transmit center frequency of TRS0 and PDSCH/DMRS are the same, TRS0 can be used for QCL-TypeA estimation including both Doppler parameters and delay parameters. However, TRS1 is used only for delay related estimation. </w:t>
      </w:r>
    </w:p>
    <w:p>
      <w:pPr>
        <w:numPr>
          <w:ilvl w:val="0"/>
          <w:numId w:val="7"/>
        </w:numPr>
        <w:snapToGrid w:val="0"/>
        <w:spacing w:before="180" w:beforeLines="50" w:after="180" w:afterLines="50" w:line="240" w:lineRule="auto"/>
        <w:jc w:val="center"/>
      </w:pPr>
      <w:r>
        <w:drawing>
          <wp:inline distT="0" distB="0" distL="114300" distR="114300">
            <wp:extent cx="5067300" cy="3068955"/>
            <wp:effectExtent l="0" t="0" r="0" b="17145"/>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3"/>
                    <a:stretch>
                      <a:fillRect/>
                    </a:stretch>
                  </pic:blipFill>
                  <pic:spPr>
                    <a:xfrm>
                      <a:off x="0" y="0"/>
                      <a:ext cx="5067300" cy="3068955"/>
                    </a:xfrm>
                    <a:prstGeom prst="rect">
                      <a:avLst/>
                    </a:prstGeom>
                    <a:noFill/>
                    <a:ln>
                      <a:noFill/>
                    </a:ln>
                  </pic:spPr>
                </pic:pic>
              </a:graphicData>
            </a:graphic>
          </wp:inline>
        </w:drawing>
      </w:r>
    </w:p>
    <w:p>
      <w:pPr>
        <w:snapToGrid w:val="0"/>
        <w:spacing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 xml:space="preserve">1. </w:t>
      </w:r>
      <w:r>
        <w:rPr>
          <w:rFonts w:ascii="Times New Roman" w:hAnsi="Times New Roman"/>
          <w:sz w:val="20"/>
          <w:szCs w:val="20"/>
        </w:rPr>
        <w:t xml:space="preserve">Procedure for gNB </w:t>
      </w:r>
      <w:r>
        <w:rPr>
          <w:rFonts w:hint="eastAsia" w:ascii="Times New Roman" w:hAnsi="Times New Roman"/>
          <w:sz w:val="20"/>
          <w:szCs w:val="20"/>
        </w:rPr>
        <w:t>pre-compensation</w:t>
      </w:r>
      <w:r>
        <w:rPr>
          <w:rFonts w:ascii="Times New Roman" w:hAnsi="Times New Roman"/>
          <w:sz w:val="20"/>
          <w:szCs w:val="20"/>
        </w:rPr>
        <w:t xml:space="preserve"> based solution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Some companies elaborated in RAN1#104 e-meeting that DPS shows better performance than</w:t>
      </w:r>
      <w:r>
        <w:rPr>
          <w:rFonts w:ascii="Times New Roman" w:hAnsi="Times New Roman"/>
          <w:sz w:val="20"/>
          <w:szCs w:val="20"/>
        </w:rPr>
        <w:t xml:space="preserve"> MTRP SFN which is based on</w:t>
      </w:r>
      <w:r>
        <w:rPr>
          <w:rFonts w:hint="eastAsia" w:ascii="Times New Roman" w:hAnsi="Times New Roman"/>
          <w:sz w:val="20"/>
          <w:szCs w:val="20"/>
        </w:rPr>
        <w:t xml:space="preserve"> the frequency offset pre-compensation at gNB side. For comparison, four scenarios</w:t>
      </w:r>
      <w:r>
        <w:rPr>
          <w:rFonts w:ascii="Times New Roman" w:hAnsi="Times New Roman"/>
          <w:sz w:val="20"/>
          <w:szCs w:val="20"/>
        </w:rPr>
        <w:t xml:space="preserve"> including DPS</w:t>
      </w:r>
      <w:r>
        <w:rPr>
          <w:rFonts w:hint="eastAsia" w:ascii="Times New Roman" w:hAnsi="Times New Roman"/>
          <w:sz w:val="20"/>
          <w:szCs w:val="20"/>
        </w:rPr>
        <w:t xml:space="preserve"> are </w:t>
      </w:r>
      <w:r>
        <w:rPr>
          <w:rFonts w:ascii="Times New Roman" w:hAnsi="Times New Roman"/>
          <w:sz w:val="20"/>
          <w:szCs w:val="20"/>
        </w:rPr>
        <w:t>evaluated in our simulation</w:t>
      </w:r>
      <w:r>
        <w:rPr>
          <w:rFonts w:hint="eastAsia" w:ascii="Times New Roman" w:hAnsi="Times New Roman"/>
          <w:sz w:val="20"/>
          <w:szCs w:val="20"/>
        </w:rPr>
        <w:t>:</w:t>
      </w:r>
    </w:p>
    <w:p>
      <w:pPr>
        <w:numPr>
          <w:ilvl w:val="0"/>
          <w:numId w:val="8"/>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Pre-compensation based transmission as shown in Figure 1;</w:t>
      </w:r>
    </w:p>
    <w:p>
      <w:pPr>
        <w:numPr>
          <w:ilvl w:val="0"/>
          <w:numId w:val="8"/>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DPS </w:t>
      </w:r>
      <w:r>
        <w:rPr>
          <w:rFonts w:ascii="Times New Roman" w:hAnsi="Times New Roman"/>
          <w:sz w:val="20"/>
          <w:szCs w:val="20"/>
        </w:rPr>
        <w:t>is used</w:t>
      </w:r>
      <w:r>
        <w:rPr>
          <w:rFonts w:hint="eastAsia" w:ascii="Times New Roman" w:hAnsi="Times New Roman"/>
          <w:sz w:val="20"/>
          <w:szCs w:val="20"/>
        </w:rPr>
        <w:t xml:space="preserve"> based on the UE</w:t>
      </w:r>
      <w:r>
        <w:rPr>
          <w:rFonts w:ascii="Times New Roman" w:hAnsi="Times New Roman"/>
          <w:sz w:val="20"/>
          <w:szCs w:val="20"/>
        </w:rPr>
        <w:t>’</w:t>
      </w:r>
      <w:r>
        <w:rPr>
          <w:rFonts w:hint="eastAsia" w:ascii="Times New Roman" w:hAnsi="Times New Roman"/>
          <w:sz w:val="20"/>
          <w:szCs w:val="20"/>
        </w:rPr>
        <w:t xml:space="preserve">s location </w:t>
      </w:r>
      <w:r>
        <w:rPr>
          <w:rFonts w:ascii="Times New Roman" w:hAnsi="Times New Roman"/>
          <w:sz w:val="20"/>
          <w:szCs w:val="20"/>
        </w:rPr>
        <w:t>in</w:t>
      </w:r>
      <w:r>
        <w:rPr>
          <w:rFonts w:hint="eastAsia" w:ascii="Times New Roman" w:hAnsi="Times New Roman"/>
          <w:sz w:val="20"/>
          <w:szCs w:val="20"/>
        </w:rPr>
        <w:t xml:space="preserve"> the simulation, i.e. if the distance between UE and the first TRP is less than 350 meters, the first TRP transmit</w:t>
      </w:r>
      <w:r>
        <w:rPr>
          <w:rFonts w:ascii="Times New Roman" w:hAnsi="Times New Roman"/>
          <w:sz w:val="20"/>
          <w:szCs w:val="20"/>
        </w:rPr>
        <w:t>s</w:t>
      </w:r>
      <w:r>
        <w:rPr>
          <w:rFonts w:hint="eastAsia" w:ascii="Times New Roman" w:hAnsi="Times New Roman"/>
          <w:sz w:val="20"/>
          <w:szCs w:val="20"/>
        </w:rPr>
        <w:t xml:space="preserve"> PDSCH to UE, otherwise, the second TRP transmit</w:t>
      </w:r>
      <w:r>
        <w:rPr>
          <w:rFonts w:ascii="Times New Roman" w:hAnsi="Times New Roman"/>
          <w:sz w:val="20"/>
          <w:szCs w:val="20"/>
        </w:rPr>
        <w:t>s</w:t>
      </w:r>
      <w:r>
        <w:rPr>
          <w:rFonts w:hint="eastAsia" w:ascii="Times New Roman" w:hAnsi="Times New Roman"/>
          <w:sz w:val="20"/>
          <w:szCs w:val="20"/>
        </w:rPr>
        <w:t xml:space="preserve"> PDSCH to UE.</w:t>
      </w:r>
    </w:p>
    <w:p>
      <w:pPr>
        <w:numPr>
          <w:ilvl w:val="0"/>
          <w:numId w:val="8"/>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SFN </w:t>
      </w:r>
      <w:r>
        <w:rPr>
          <w:rFonts w:hint="eastAsia" w:ascii="Times New Roman" w:hAnsi="Times New Roman"/>
          <w:sz w:val="20"/>
          <w:szCs w:val="20"/>
        </w:rPr>
        <w:t xml:space="preserve">Scheme 1 </w:t>
      </w:r>
      <w:r>
        <w:rPr>
          <w:rFonts w:ascii="Times New Roman" w:hAnsi="Times New Roman"/>
          <w:sz w:val="20"/>
          <w:szCs w:val="20"/>
        </w:rPr>
        <w:t>as shown in above Agreement#3 and #4</w:t>
      </w:r>
      <w:r>
        <w:rPr>
          <w:rFonts w:hint="eastAsia" w:ascii="Times New Roman" w:hAnsi="Times New Roman"/>
          <w:sz w:val="20"/>
          <w:szCs w:val="20"/>
        </w:rPr>
        <w:t xml:space="preserve">. </w:t>
      </w:r>
    </w:p>
    <w:p>
      <w:pPr>
        <w:numPr>
          <w:ilvl w:val="0"/>
          <w:numId w:val="8"/>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Pre-compensation with small delay CDD. The delay is added to the TRP</w:t>
      </w:r>
      <w:r>
        <w:rPr>
          <w:rFonts w:ascii="Times New Roman" w:hAnsi="Times New Roman"/>
          <w:sz w:val="20"/>
          <w:szCs w:val="20"/>
        </w:rPr>
        <w:t xml:space="preserve"> which is farther from the UE</w:t>
      </w:r>
      <w:r>
        <w:rPr>
          <w:rFonts w:hint="eastAsia" w:ascii="Times New Roman" w:hAnsi="Times New Roman"/>
          <w:sz w:val="20"/>
          <w:szCs w:val="20"/>
        </w:rPr>
        <w:t>, i.e. if the UE</w:t>
      </w:r>
      <w:r>
        <w:rPr>
          <w:rFonts w:ascii="Times New Roman" w:hAnsi="Times New Roman"/>
          <w:sz w:val="20"/>
          <w:szCs w:val="20"/>
        </w:rPr>
        <w:t>’</w:t>
      </w:r>
      <w:r>
        <w:rPr>
          <w:rFonts w:hint="eastAsia" w:ascii="Times New Roman" w:hAnsi="Times New Roman"/>
          <w:sz w:val="20"/>
          <w:szCs w:val="20"/>
        </w:rPr>
        <w:t>s location is smaller than 350 meters, the PDSCH from the second TRP is transmitted with a</w:t>
      </w:r>
      <w:r>
        <w:rPr>
          <w:rFonts w:ascii="Times New Roman" w:hAnsi="Times New Roman"/>
          <w:sz w:val="20"/>
          <w:szCs w:val="20"/>
        </w:rPr>
        <w:t>n additional</w:t>
      </w:r>
      <w:r>
        <w:rPr>
          <w:rFonts w:hint="eastAsia" w:ascii="Times New Roman" w:hAnsi="Times New Roman"/>
          <w:sz w:val="20"/>
          <w:szCs w:val="20"/>
        </w:rPr>
        <w:t xml:space="preserve"> delay.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Figure 2 </w:t>
      </w:r>
      <w:r>
        <w:rPr>
          <w:rFonts w:ascii="Times New Roman" w:hAnsi="Times New Roman"/>
          <w:sz w:val="20"/>
          <w:szCs w:val="20"/>
        </w:rPr>
        <w:t xml:space="preserve">shows the simulation comparisons </w:t>
      </w:r>
      <w:r>
        <w:rPr>
          <w:rFonts w:hint="eastAsia" w:ascii="Times New Roman" w:hAnsi="Times New Roman"/>
          <w:sz w:val="20"/>
          <w:szCs w:val="20"/>
        </w:rPr>
        <w:t>based on different UE locations. The same transmitting power</w:t>
      </w:r>
      <w:r>
        <w:rPr>
          <w:rFonts w:ascii="Times New Roman" w:hAnsi="Times New Roman"/>
          <w:sz w:val="20"/>
          <w:szCs w:val="20"/>
        </w:rPr>
        <w:t xml:space="preserve"> is assumed for both TRPs</w:t>
      </w:r>
      <w:r>
        <w:rPr>
          <w:rFonts w:hint="eastAsia" w:ascii="Times New Roman" w:hAnsi="Times New Roman"/>
          <w:sz w:val="20"/>
          <w:szCs w:val="20"/>
        </w:rPr>
        <w:t xml:space="preserve"> and 10 degree down</w:t>
      </w:r>
      <w:r>
        <w:rPr>
          <w:rFonts w:ascii="Times New Roman" w:hAnsi="Times New Roman"/>
          <w:sz w:val="20"/>
          <w:szCs w:val="20"/>
        </w:rPr>
        <w:t>-</w:t>
      </w:r>
      <w:r>
        <w:rPr>
          <w:rFonts w:hint="eastAsia" w:ascii="Times New Roman" w:hAnsi="Times New Roman"/>
          <w:sz w:val="20"/>
          <w:szCs w:val="20"/>
        </w:rPr>
        <w:t xml:space="preserve">tilt </w:t>
      </w:r>
      <w:r>
        <w:rPr>
          <w:rFonts w:ascii="Times New Roman" w:hAnsi="Times New Roman"/>
          <w:sz w:val="20"/>
          <w:szCs w:val="20"/>
        </w:rPr>
        <w:t xml:space="preserve">is used </w:t>
      </w:r>
      <w:r>
        <w:rPr>
          <w:rFonts w:hint="eastAsia" w:ascii="Times New Roman" w:hAnsi="Times New Roman"/>
          <w:sz w:val="20"/>
          <w:szCs w:val="20"/>
        </w:rPr>
        <w:t>for each TRP</w:t>
      </w:r>
      <w:r>
        <w:rPr>
          <w:rFonts w:ascii="Times New Roman" w:hAnsi="Times New Roman"/>
          <w:sz w:val="20"/>
          <w:szCs w:val="20"/>
        </w:rPr>
        <w:t xml:space="preserve"> as suggested by [6]</w:t>
      </w:r>
      <w:r>
        <w:rPr>
          <w:rFonts w:hint="eastAsia" w:ascii="Times New Roman" w:hAnsi="Times New Roman"/>
          <w:sz w:val="20"/>
          <w:szCs w:val="20"/>
        </w:rPr>
        <w:t xml:space="preserve">. </w:t>
      </w:r>
      <w:r>
        <w:rPr>
          <w:rFonts w:ascii="Times New Roman" w:hAnsi="Times New Roman"/>
          <w:sz w:val="20"/>
          <w:szCs w:val="20"/>
        </w:rPr>
        <w:t xml:space="preserve">In addition, MCS adaption is used in order to well reflect the performance comparison especially in the case SNR is very low or high. Other simulation assumptions are basically based on </w:t>
      </w:r>
      <w:r>
        <w:rPr>
          <w:rFonts w:hint="eastAsia" w:ascii="Times New Roman" w:hAnsi="Times New Roman"/>
          <w:sz w:val="20"/>
          <w:szCs w:val="20"/>
        </w:rPr>
        <w:t>t</w:t>
      </w:r>
      <w:r>
        <w:rPr>
          <w:rFonts w:ascii="Times New Roman" w:hAnsi="Times New Roman"/>
          <w:sz w:val="20"/>
          <w:szCs w:val="20"/>
        </w:rPr>
        <w:t>he baseline assumptions which was agreed in RAN1#102-e meeting.</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the simulation results, it can be found,</w:t>
      </w:r>
      <w:r>
        <w:rPr>
          <w:rFonts w:ascii="Times New Roman" w:hAnsi="Times New Roman"/>
          <w:sz w:val="20"/>
          <w:szCs w:val="20"/>
        </w:rPr>
        <w:t xml:space="preserve"> SFN</w:t>
      </w:r>
      <w:r>
        <w:rPr>
          <w:rFonts w:hint="eastAsia" w:ascii="Times New Roman" w:hAnsi="Times New Roman"/>
          <w:sz w:val="20"/>
          <w:szCs w:val="20"/>
        </w:rPr>
        <w:t xml:space="preserve"> pre-compensation </w:t>
      </w:r>
      <w:r>
        <w:rPr>
          <w:rFonts w:ascii="Times New Roman" w:hAnsi="Times New Roman"/>
          <w:sz w:val="20"/>
          <w:szCs w:val="20"/>
        </w:rPr>
        <w:t>either with or without small delay CDD achieves</w:t>
      </w:r>
      <w:r>
        <w:rPr>
          <w:rFonts w:hint="eastAsia" w:ascii="Times New Roman" w:hAnsi="Times New Roman"/>
          <w:sz w:val="20"/>
          <w:szCs w:val="20"/>
        </w:rPr>
        <w:t xml:space="preserve"> better performance than scheme 1 and DPS at </w:t>
      </w:r>
      <w:r>
        <w:rPr>
          <w:rFonts w:ascii="Times New Roman" w:hAnsi="Times New Roman"/>
          <w:sz w:val="20"/>
          <w:szCs w:val="20"/>
        </w:rPr>
        <w:t xml:space="preserve">UE positions </w:t>
      </w:r>
      <w:r>
        <w:rPr>
          <w:rFonts w:hint="eastAsia" w:ascii="Times New Roman" w:hAnsi="Times New Roman"/>
          <w:sz w:val="20"/>
          <w:szCs w:val="20"/>
        </w:rPr>
        <w:t>around the middle point</w:t>
      </w:r>
      <w:r>
        <w:rPr>
          <w:rFonts w:ascii="Times New Roman" w:hAnsi="Times New Roman"/>
          <w:sz w:val="20"/>
          <w:szCs w:val="20"/>
        </w:rPr>
        <w:t xml:space="preserve"> between two TRPs</w:t>
      </w:r>
      <w:r>
        <w:rPr>
          <w:rFonts w:hint="eastAsia" w:ascii="Times New Roman" w:hAnsi="Times New Roman"/>
          <w:sz w:val="20"/>
          <w:szCs w:val="20"/>
        </w:rPr>
        <w:t xml:space="preserve">. </w:t>
      </w:r>
      <w:r>
        <w:rPr>
          <w:rFonts w:ascii="Times New Roman" w:hAnsi="Times New Roman"/>
          <w:sz w:val="20"/>
          <w:szCs w:val="20"/>
        </w:rPr>
        <w:t>Also, it can be observed that SFN</w:t>
      </w:r>
      <w:r>
        <w:rPr>
          <w:rFonts w:hint="eastAsia" w:ascii="Times New Roman" w:hAnsi="Times New Roman"/>
          <w:sz w:val="20"/>
          <w:szCs w:val="20"/>
        </w:rPr>
        <w:t xml:space="preserve"> pre-compensation</w:t>
      </w:r>
      <w:r>
        <w:rPr>
          <w:rFonts w:ascii="Times New Roman" w:hAnsi="Times New Roman"/>
          <w:sz w:val="20"/>
          <w:szCs w:val="20"/>
        </w:rPr>
        <w:t xml:space="preserve"> with small delay CDD provide the best performance because it avoids opposite channel phases of two TRPs at the same path, and increases the transmission robustness in high speed train scenario. It is note that small delay CDD is gNB implementation without specification impact.</w:t>
      </w:r>
    </w:p>
    <w:p>
      <w:pPr>
        <w:snapToGrid w:val="0"/>
        <w:spacing w:before="180" w:beforeLines="50" w:after="180" w:afterLines="50" w:line="240" w:lineRule="auto"/>
        <w:jc w:val="center"/>
        <w:rPr>
          <w:rFonts w:ascii="Times New Roman" w:hAnsi="Times New Roman"/>
          <w:sz w:val="20"/>
          <w:szCs w:val="20"/>
        </w:rPr>
      </w:pPr>
      <w:r>
        <w:drawing>
          <wp:inline distT="0" distB="0" distL="114300" distR="114300">
            <wp:extent cx="5270500" cy="2769870"/>
            <wp:effectExtent l="0" t="0" r="0" b="11430"/>
            <wp:docPr id="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
                    <pic:cNvPicPr>
                      <a:picLocks noChangeAspect="1"/>
                    </pic:cNvPicPr>
                  </pic:nvPicPr>
                  <pic:blipFill>
                    <a:blip r:embed="rId14"/>
                    <a:stretch>
                      <a:fillRect/>
                    </a:stretch>
                  </pic:blipFill>
                  <pic:spPr>
                    <a:xfrm>
                      <a:off x="0" y="0"/>
                      <a:ext cx="5270500" cy="276987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drawing>
          <wp:inline distT="0" distB="0" distL="114300" distR="114300">
            <wp:extent cx="5270500" cy="2769870"/>
            <wp:effectExtent l="0" t="0" r="0" b="11430"/>
            <wp:docPr id="1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24"/>
                    <pic:cNvPicPr>
                      <a:picLocks noChangeAspect="1"/>
                    </pic:cNvPicPr>
                  </pic:nvPicPr>
                  <pic:blipFill>
                    <a:blip r:embed="rId15"/>
                    <a:stretch>
                      <a:fillRect/>
                    </a:stretch>
                  </pic:blipFill>
                  <pic:spPr>
                    <a:xfrm>
                      <a:off x="0" y="0"/>
                      <a:ext cx="5270500" cy="2769870"/>
                    </a:xfrm>
                    <a:prstGeom prst="rect">
                      <a:avLst/>
                    </a:prstGeom>
                    <a:noFill/>
                    <a:ln w="9525">
                      <a:noFill/>
                    </a:ln>
                  </pic:spPr>
                </pic:pic>
              </a:graphicData>
            </a:graphic>
          </wp:inline>
        </w:drawing>
      </w:r>
    </w:p>
    <w:p>
      <w:pPr>
        <w:snapToGrid w:val="0"/>
        <w:spacing w:before="180" w:beforeLines="50" w:after="180" w:afterLines="50" w:line="240" w:lineRule="auto"/>
        <w:jc w:val="center"/>
      </w:pPr>
      <w:r>
        <w:drawing>
          <wp:inline distT="0" distB="0" distL="114300" distR="114300">
            <wp:extent cx="5270500" cy="2769870"/>
            <wp:effectExtent l="0" t="0" r="0" b="11430"/>
            <wp:docPr id="11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28"/>
                    <pic:cNvPicPr>
                      <a:picLocks noChangeAspect="1"/>
                    </pic:cNvPicPr>
                  </pic:nvPicPr>
                  <pic:blipFill>
                    <a:blip r:embed="rId16"/>
                    <a:stretch>
                      <a:fillRect/>
                    </a:stretch>
                  </pic:blipFill>
                  <pic:spPr>
                    <a:xfrm>
                      <a:off x="0" y="0"/>
                      <a:ext cx="5270500" cy="276987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bookmarkStart w:id="12" w:name="OLE_LINK21"/>
      <w:r>
        <w:rPr>
          <w:rFonts w:ascii="Times New Roman" w:hAnsi="Times New Roman"/>
          <w:sz w:val="20"/>
          <w:szCs w:val="20"/>
        </w:rPr>
        <w:t>Figure 2</w:t>
      </w:r>
      <w:r>
        <w:rPr>
          <w:rFonts w:hint="eastAsia" w:ascii="Times New Roman" w:hAnsi="Times New Roman"/>
          <w:sz w:val="20"/>
          <w:szCs w:val="20"/>
        </w:rPr>
        <w:t xml:space="preserve"> </w:t>
      </w:r>
      <w:r>
        <w:rPr>
          <w:rFonts w:ascii="Times New Roman" w:hAnsi="Times New Roman"/>
          <w:sz w:val="20"/>
          <w:szCs w:val="20"/>
        </w:rPr>
        <w:t>S</w:t>
      </w:r>
      <w:r>
        <w:rPr>
          <w:rFonts w:hint="eastAsia" w:ascii="Times New Roman" w:hAnsi="Times New Roman"/>
          <w:sz w:val="20"/>
          <w:szCs w:val="20"/>
        </w:rPr>
        <w:t xml:space="preserve">imulation results with different UE locations with </w:t>
      </w:r>
      <w:bookmarkStart w:id="13" w:name="OLE_LINK14"/>
      <w:r>
        <w:rPr>
          <w:rFonts w:hint="eastAsia" w:ascii="Times New Roman" w:hAnsi="Times New Roman"/>
          <w:position w:val="-6"/>
          <w:sz w:val="20"/>
          <w:szCs w:val="20"/>
        </w:rPr>
        <w:object>
          <v:shape id="_x0000_i1029" o:spt="75" type="#_x0000_t75" style="height:14.65pt;width:15.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bookmarkEnd w:id="13"/>
      <w:r>
        <w:rPr>
          <w:rFonts w:ascii="Times New Roman" w:hAnsi="Times New Roman"/>
          <w:sz w:val="20"/>
          <w:szCs w:val="20"/>
        </w:rPr>
        <w:t>down-tilt</w:t>
      </w:r>
    </w:p>
    <w:bookmarkEnd w:id="12"/>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Figure 3, we further provide the performance comparisons where the antenna down-tilt is based on what was agreed in RAN1#102-e meeting, that is, two TRP’s antenna down-tilts point to the midpoint between the two TRPs. From the simulation results, it can still be observed that SFN with pre-compensation either with or without small delay CDD provides better performance than DPS and SFN scheme 1. </w:t>
      </w:r>
    </w:p>
    <w:p>
      <w:pPr>
        <w:snapToGrid w:val="0"/>
        <w:spacing w:before="180" w:beforeLines="50" w:after="180" w:afterLines="50" w:line="240" w:lineRule="auto"/>
        <w:jc w:val="center"/>
      </w:pPr>
      <w:r>
        <w:drawing>
          <wp:inline distT="0" distB="0" distL="114300" distR="114300">
            <wp:extent cx="5270500" cy="2769870"/>
            <wp:effectExtent l="0" t="0" r="0" b="11430"/>
            <wp:docPr id="1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25"/>
                    <pic:cNvPicPr>
                      <a:picLocks noChangeAspect="1"/>
                    </pic:cNvPicPr>
                  </pic:nvPicPr>
                  <pic:blipFill>
                    <a:blip r:embed="rId19"/>
                    <a:stretch>
                      <a:fillRect/>
                    </a:stretch>
                  </pic:blipFill>
                  <pic:spPr>
                    <a:xfrm>
                      <a:off x="0" y="0"/>
                      <a:ext cx="5270500" cy="2769870"/>
                    </a:xfrm>
                    <a:prstGeom prst="rect">
                      <a:avLst/>
                    </a:prstGeom>
                    <a:noFill/>
                    <a:ln w="9525">
                      <a:noFill/>
                    </a:ln>
                  </pic:spPr>
                </pic:pic>
              </a:graphicData>
            </a:graphic>
          </wp:inline>
        </w:drawing>
      </w:r>
    </w:p>
    <w:p>
      <w:pPr>
        <w:snapToGrid w:val="0"/>
        <w:spacing w:before="180" w:beforeLines="50" w:after="180" w:afterLines="50" w:line="240" w:lineRule="auto"/>
        <w:jc w:val="center"/>
      </w:pPr>
      <w:r>
        <w:drawing>
          <wp:inline distT="0" distB="0" distL="114300" distR="114300">
            <wp:extent cx="5270500" cy="2769870"/>
            <wp:effectExtent l="0" t="0" r="0" b="1143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pic:cNvPicPr>
                  </pic:nvPicPr>
                  <pic:blipFill>
                    <a:blip r:embed="rId20"/>
                    <a:stretch>
                      <a:fillRect/>
                    </a:stretch>
                  </pic:blipFill>
                  <pic:spPr>
                    <a:xfrm>
                      <a:off x="0" y="0"/>
                      <a:ext cx="5270500" cy="276987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drawing>
          <wp:inline distT="0" distB="0" distL="114300" distR="114300">
            <wp:extent cx="5270500" cy="2769870"/>
            <wp:effectExtent l="0" t="0" r="0" b="11430"/>
            <wp:docPr id="11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29"/>
                    <pic:cNvPicPr>
                      <a:picLocks noChangeAspect="1"/>
                    </pic:cNvPicPr>
                  </pic:nvPicPr>
                  <pic:blipFill>
                    <a:blip r:embed="rId21"/>
                    <a:stretch>
                      <a:fillRect/>
                    </a:stretch>
                  </pic:blipFill>
                  <pic:spPr>
                    <a:xfrm>
                      <a:off x="0" y="0"/>
                      <a:ext cx="5270500" cy="276987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 xml:space="preserve">3 Simulation results with different UE locations with </w:t>
      </w:r>
      <w:r>
        <w:rPr>
          <w:rFonts w:hint="eastAsia" w:ascii="Times New Roman" w:hAnsi="Times New Roman"/>
          <w:position w:val="-6"/>
          <w:sz w:val="20"/>
          <w:szCs w:val="20"/>
        </w:rPr>
        <w:object>
          <v:shape id="_x0000_i1030" o:spt="75" type="#_x0000_t75" style="height:14.65pt;width:11.1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r>
        <w:rPr>
          <w:rFonts w:ascii="Times New Roman" w:hAnsi="Times New Roman"/>
          <w:sz w:val="20"/>
          <w:szCs w:val="20"/>
        </w:rPr>
        <w:t>down-tilt</w:t>
      </w:r>
    </w:p>
    <w:p>
      <w:pPr>
        <w:snapToGrid w:val="0"/>
        <w:spacing w:before="180" w:beforeLines="50" w:after="180" w:afterLines="50" w:line="240" w:lineRule="auto"/>
        <w:jc w:val="both"/>
        <w:rPr>
          <w:rFonts w:ascii="Times New Roman" w:hAnsi="Times New Roman"/>
          <w:bCs/>
          <w:iCs/>
          <w:sz w:val="20"/>
          <w:szCs w:val="20"/>
        </w:rPr>
      </w:pPr>
      <w:r>
        <w:rPr>
          <w:rFonts w:ascii="Times New Roman" w:hAnsi="Times New Roman"/>
          <w:bCs/>
          <w:iCs/>
          <w:sz w:val="20"/>
          <w:szCs w:val="20"/>
        </w:rPr>
        <w:t xml:space="preserve">In addition, more simulation results on other non-baseline evaluation setups, e.g., antenna array </w:t>
      </w:r>
      <w:r>
        <w:rPr>
          <w:rFonts w:ascii="Times New Roman" w:hAnsi="Times New Roman"/>
          <w:sz w:val="20"/>
          <w:szCs w:val="20"/>
        </w:rPr>
        <w:t>[1, 1, 1, 1, 2]</w:t>
      </w:r>
      <w:r>
        <w:rPr>
          <w:rFonts w:ascii="Times New Roman" w:hAnsi="Times New Roman"/>
          <w:bCs/>
          <w:iCs/>
          <w:sz w:val="20"/>
          <w:szCs w:val="20"/>
        </w:rPr>
        <w:t>, are shown in Appendix (Section 5.2) to give a more comprehensive comparison of different schemes. Similar observations can be seen from these results.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1: </w:t>
      </w:r>
      <w:r>
        <w:rPr>
          <w:rFonts w:ascii="Times New Roman" w:hAnsi="Times New Roman"/>
          <w:i/>
          <w:iCs/>
          <w:sz w:val="20"/>
          <w:szCs w:val="20"/>
        </w:rPr>
        <w:t>SFN</w:t>
      </w:r>
      <w:r>
        <w:rPr>
          <w:rFonts w:ascii="Times New Roman" w:hAnsi="Times New Roman"/>
          <w:b/>
          <w:bCs/>
          <w:i/>
          <w:iCs/>
          <w:sz w:val="20"/>
          <w:szCs w:val="20"/>
        </w:rPr>
        <w:t xml:space="preserve"> </w:t>
      </w:r>
      <w:r>
        <w:rPr>
          <w:rFonts w:ascii="Times New Roman" w:hAnsi="Times New Roman"/>
          <w:i/>
          <w:iCs/>
          <w:sz w:val="20"/>
          <w:szCs w:val="20"/>
        </w:rPr>
        <w:t>p</w:t>
      </w:r>
      <w:r>
        <w:rPr>
          <w:rFonts w:hint="eastAsia" w:ascii="Times New Roman" w:hAnsi="Times New Roman"/>
          <w:i/>
          <w:iCs/>
          <w:sz w:val="20"/>
          <w:szCs w:val="20"/>
        </w:rPr>
        <w:t xml:space="preserve">re-compensation at gNB side makes better performance than scheme 1 for all the UE locations, and also makes better performance than DPS around the middle point </w:t>
      </w:r>
      <w:r>
        <w:rPr>
          <w:rFonts w:ascii="Times New Roman" w:hAnsi="Times New Roman"/>
          <w:i/>
          <w:iCs/>
          <w:sz w:val="20"/>
          <w:szCs w:val="20"/>
        </w:rPr>
        <w:t>between</w:t>
      </w:r>
      <w:r>
        <w:rPr>
          <w:rFonts w:hint="eastAsia" w:ascii="Times New Roman" w:hAnsi="Times New Roman"/>
          <w:i/>
          <w:iCs/>
          <w:sz w:val="20"/>
          <w:szCs w:val="20"/>
        </w:rPr>
        <w:t xml:space="preserve"> two TRPs.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Proposal 1:</w:t>
      </w:r>
      <w:r>
        <w:rPr>
          <w:rFonts w:ascii="Times New Roman" w:hAnsi="Times New Roman"/>
          <w:b/>
          <w:bCs/>
          <w:i/>
          <w:iCs/>
          <w:sz w:val="20"/>
          <w:szCs w:val="20"/>
        </w:rPr>
        <w:t xml:space="preserve"> </w:t>
      </w:r>
      <w:r>
        <w:rPr>
          <w:rFonts w:hint="eastAsia" w:ascii="Times New Roman" w:hAnsi="Times New Roman"/>
          <w:i/>
          <w:iCs/>
          <w:sz w:val="20"/>
          <w:szCs w:val="20"/>
        </w:rPr>
        <w:t>Frequency offset</w:t>
      </w:r>
      <w:r>
        <w:rPr>
          <w:rFonts w:hint="eastAsia" w:ascii="Times New Roman" w:hAnsi="Times New Roman"/>
          <w:b/>
          <w:bCs/>
          <w:i/>
          <w:iCs/>
          <w:sz w:val="20"/>
          <w:szCs w:val="20"/>
        </w:rPr>
        <w:t xml:space="preserve"> </w:t>
      </w:r>
      <w:r>
        <w:rPr>
          <w:rFonts w:hint="eastAsia" w:ascii="Times New Roman" w:hAnsi="Times New Roman"/>
          <w:i/>
          <w:iCs/>
          <w:sz w:val="20"/>
          <w:szCs w:val="20"/>
        </w:rPr>
        <w:t>pre-compensation at gNB side should be supported.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If pre-compensation at gNB side is supported, two TCI states for the same DMRS port(s)</w:t>
      </w:r>
      <w:r>
        <w:rPr>
          <w:rFonts w:ascii="Times New Roman" w:hAnsi="Times New Roman"/>
          <w:sz w:val="20"/>
          <w:szCs w:val="20"/>
        </w:rPr>
        <w:t xml:space="preserve"> are required</w:t>
      </w:r>
      <w:r>
        <w:rPr>
          <w:rFonts w:hint="eastAsia" w:ascii="Times New Roman" w:hAnsi="Times New Roman"/>
          <w:sz w:val="20"/>
          <w:szCs w:val="20"/>
        </w:rPr>
        <w:t>. From Figure 1 it can be found the frequency offset is estimated mainly based on TRS0, so UE should get Doppler related parameters based on the TCI state of TRS0, and get the delay related parameters from both of the two TCI states. So UE estimates the Doppler and delay related parameter from one of two TCI states, and only estimate delay related parameters from the other TCI state.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specification perspective, there are two ways to support the above procedure</w:t>
      </w:r>
      <w:r>
        <w:rPr>
          <w:rFonts w:ascii="Times New Roman" w:hAnsi="Times New Roman"/>
          <w:sz w:val="20"/>
          <w:szCs w:val="20"/>
        </w:rPr>
        <w:t xml:space="preserve"> as the following Alt 1 and Alt 2.</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Alt.1: A new QCL type E is introduced which may only contain {average delay, delay spread}. </w:t>
      </w:r>
    </w:p>
    <w:p>
      <w:pPr>
        <w:numPr>
          <w:ilvl w:val="1"/>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 is RRC impact for TCI state structure as follows</w:t>
      </w:r>
    </w:p>
    <w:p>
      <w:pPr>
        <w:pStyle w:val="97"/>
        <w:snapToGrid w:val="0"/>
      </w:pPr>
    </w:p>
    <w:p>
      <w:pPr>
        <w:pStyle w:val="97"/>
        <w:snapToGrid w:val="0"/>
      </w:pPr>
      <w:r>
        <w:t xml:space="preserve">TCI-State ::=                       </w:t>
      </w:r>
      <w:r>
        <w:rPr>
          <w:color w:val="993366"/>
        </w:rPr>
        <w:t>SEQUENCE</w:t>
      </w:r>
      <w:r>
        <w:t xml:space="preserve"> {</w:t>
      </w:r>
    </w:p>
    <w:p>
      <w:pPr>
        <w:pStyle w:val="97"/>
        <w:snapToGrid w:val="0"/>
      </w:pPr>
      <w:r>
        <w:t xml:space="preserve">    tci-StateId                         TCI-StateId,</w:t>
      </w:r>
    </w:p>
    <w:p>
      <w:pPr>
        <w:pStyle w:val="97"/>
        <w:snapToGrid w:val="0"/>
      </w:pPr>
      <w:r>
        <w:t xml:space="preserve">    qcl-Type1                           QCL-Info,</w:t>
      </w:r>
    </w:p>
    <w:p>
      <w:pPr>
        <w:pStyle w:val="97"/>
        <w:snapToGrid w:val="0"/>
        <w:rPr>
          <w:color w:val="808080"/>
        </w:rPr>
      </w:pPr>
      <w:r>
        <w:t xml:space="preserve">    qcl-Type2                           QCL-Info                                                    </w:t>
      </w:r>
      <w:r>
        <w:rPr>
          <w:color w:val="993366"/>
        </w:rPr>
        <w:t>OPTIONAL</w:t>
      </w:r>
      <w:r>
        <w:t xml:space="preserve">,   </w:t>
      </w:r>
      <w:r>
        <w:rPr>
          <w:color w:val="808080"/>
        </w:rPr>
        <w:t>-- Need R</w:t>
      </w:r>
    </w:p>
    <w:p>
      <w:pPr>
        <w:pStyle w:val="97"/>
        <w:snapToGrid w:val="0"/>
      </w:pPr>
      <w:r>
        <w:t xml:space="preserve">    ...</w:t>
      </w:r>
    </w:p>
    <w:p>
      <w:pPr>
        <w:pStyle w:val="97"/>
        <w:snapToGrid w:val="0"/>
      </w:pPr>
      <w:r>
        <w:t>}</w:t>
      </w:r>
    </w:p>
    <w:p>
      <w:pPr>
        <w:pStyle w:val="97"/>
        <w:snapToGrid w:val="0"/>
      </w:pPr>
    </w:p>
    <w:p>
      <w:pPr>
        <w:pStyle w:val="97"/>
        <w:snapToGrid w:val="0"/>
      </w:pPr>
      <w:r>
        <w:t xml:space="preserve">QCL-Info ::=                        </w:t>
      </w:r>
      <w:r>
        <w:rPr>
          <w:color w:val="993366"/>
        </w:rPr>
        <w:t>SEQUENCE</w:t>
      </w:r>
      <w:r>
        <w:t xml:space="preserve"> {</w:t>
      </w:r>
    </w:p>
    <w:p>
      <w:pPr>
        <w:pStyle w:val="97"/>
        <w:snapToGrid w:val="0"/>
        <w:rPr>
          <w:color w:val="808080"/>
        </w:rPr>
      </w:pPr>
      <w:r>
        <w:t xml:space="preserve">    cell                                ServCellIndex                                               </w:t>
      </w:r>
      <w:r>
        <w:rPr>
          <w:color w:val="993366"/>
        </w:rPr>
        <w:t>OPTIONAL</w:t>
      </w:r>
      <w:r>
        <w:t xml:space="preserve">,   </w:t>
      </w:r>
      <w:r>
        <w:rPr>
          <w:color w:val="808080"/>
        </w:rPr>
        <w:t>-- Need R</w:t>
      </w:r>
    </w:p>
    <w:p>
      <w:pPr>
        <w:pStyle w:val="97"/>
        <w:snapToGrid w:val="0"/>
        <w:rPr>
          <w:color w:val="808080"/>
        </w:rPr>
      </w:pPr>
      <w:r>
        <w:t xml:space="preserve">    bwp-Id                              BWP-Id                                                      </w:t>
      </w:r>
      <w:r>
        <w:rPr>
          <w:color w:val="993366"/>
        </w:rPr>
        <w:t>OPTIONAL</w:t>
      </w:r>
      <w:r>
        <w:t xml:space="preserve">, </w:t>
      </w:r>
      <w:r>
        <w:rPr>
          <w:color w:val="808080"/>
        </w:rPr>
        <w:t>-- Cond CSI-RS-Indicated</w:t>
      </w:r>
    </w:p>
    <w:p>
      <w:pPr>
        <w:pStyle w:val="97"/>
        <w:snapToGrid w:val="0"/>
      </w:pPr>
      <w:r>
        <w:t xml:space="preserve">    referenceSignal                     </w:t>
      </w:r>
      <w:r>
        <w:rPr>
          <w:color w:val="993366"/>
        </w:rPr>
        <w:t>CHOICE</w:t>
      </w:r>
      <w:r>
        <w:t xml:space="preserve"> {</w:t>
      </w:r>
    </w:p>
    <w:p>
      <w:pPr>
        <w:pStyle w:val="97"/>
        <w:snapToGrid w:val="0"/>
      </w:pPr>
      <w:r>
        <w:t xml:space="preserve">        csi-rs                              NZP-CSI-RS-ResourceId,</w:t>
      </w:r>
    </w:p>
    <w:p>
      <w:pPr>
        <w:pStyle w:val="97"/>
        <w:snapToGrid w:val="0"/>
      </w:pPr>
      <w:r>
        <w:t xml:space="preserve">        ssb                                 SSB-Index</w:t>
      </w:r>
    </w:p>
    <w:p>
      <w:pPr>
        <w:pStyle w:val="97"/>
        <w:snapToGrid w:val="0"/>
      </w:pPr>
      <w:r>
        <w:t xml:space="preserve">    },</w:t>
      </w:r>
    </w:p>
    <w:p>
      <w:pPr>
        <w:pStyle w:val="97"/>
        <w:snapToGrid w:val="0"/>
      </w:pPr>
      <w:r>
        <w:t xml:space="preserve">    qcl-Type                            </w:t>
      </w:r>
      <w:r>
        <w:rPr>
          <w:color w:val="993366"/>
        </w:rPr>
        <w:t>ENUMERATED</w:t>
      </w:r>
      <w:r>
        <w:t xml:space="preserve"> {typeA, typeB, typeC, typeD</w:t>
      </w:r>
      <w:r>
        <w:rPr>
          <w:rFonts w:hint="eastAsia" w:eastAsia="宋体"/>
          <w:b/>
          <w:bCs/>
          <w:lang w:val="en-US" w:eastAsia="zh-CN"/>
        </w:rPr>
        <w:t xml:space="preserve">, </w:t>
      </w:r>
      <w:r>
        <w:rPr>
          <w:rFonts w:hint="eastAsia" w:eastAsia="宋体"/>
          <w:b/>
          <w:bCs/>
          <w:color w:val="FF0000"/>
          <w:lang w:val="en-US" w:eastAsia="zh-CN"/>
        </w:rPr>
        <w:t>typeE</w:t>
      </w:r>
      <w:r>
        <w:rPr>
          <w:b/>
          <w:bCs/>
        </w:rPr>
        <w:t>}</w:t>
      </w:r>
      <w:r>
        <w:t>,</w:t>
      </w:r>
    </w:p>
    <w:p>
      <w:pPr>
        <w:pStyle w:val="97"/>
        <w:snapToGrid w:val="0"/>
      </w:pPr>
      <w:r>
        <w:t xml:space="preserve">    ...</w:t>
      </w:r>
    </w:p>
    <w:p>
      <w:pPr>
        <w:pStyle w:val="97"/>
        <w:snapToGrid w:val="0"/>
      </w:pPr>
      <w:r>
        <w:t>}</w:t>
      </w:r>
    </w:p>
    <w:p>
      <w:pPr>
        <w:numPr>
          <w:ilvl w:val="1"/>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number of supported beams will be reduced or the required number of support TCI states should be increased.</w:t>
      </w:r>
    </w:p>
    <w:p>
      <w:pPr>
        <w:numPr>
          <w:ilvl w:val="2"/>
          <w:numId w:val="7"/>
        </w:numPr>
        <w:tabs>
          <w:tab w:val="left" w:pos="840"/>
          <w:tab w:val="clear" w:pos="126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the current specification, maximum 128 TCI states can be configured by RRC signaling to PDSCH, PDCCH, CSI-RS and also possible to UL signals as being discussed in agenda 8.1.1 for unified TCI framework. In other words, the same TCI state can be configured to multiple signals. In FR2, 128 TCI states may correspond to 128 beams. However, if the new QCL type E is introduced, one new TCI state which includes the new QCL type E can only be configured for SFN mannered PDSCH (possible also for SFN mannered PDCCH), but impossible to be configured for all other signals including CSI-RS, non-SFN mannered PDSCH, e.g. single-TRP based PDSCH, etc.</w:t>
      </w:r>
      <w:r>
        <w:rPr>
          <w:rFonts w:ascii="Times New Roman" w:hAnsi="Times New Roman"/>
          <w:sz w:val="20"/>
          <w:szCs w:val="20"/>
        </w:rPr>
        <w:t>,</w:t>
      </w:r>
      <w:r>
        <w:rPr>
          <w:rFonts w:hint="eastAsia" w:ascii="Times New Roman" w:hAnsi="Times New Roman"/>
          <w:sz w:val="20"/>
          <w:szCs w:val="20"/>
        </w:rPr>
        <w:t xml:space="preserve"> even the suitable TRS resource is included in the new TCI state. Then, the  configured TCI states  </w:t>
      </w:r>
      <w:r>
        <w:rPr>
          <w:rFonts w:ascii="Times New Roman" w:hAnsi="Times New Roman"/>
          <w:sz w:val="20"/>
          <w:szCs w:val="20"/>
        </w:rPr>
        <w:t xml:space="preserve">are </w:t>
      </w:r>
      <w:r>
        <w:rPr>
          <w:rFonts w:hint="eastAsia" w:ascii="Times New Roman" w:hAnsi="Times New Roman"/>
          <w:sz w:val="20"/>
          <w:szCs w:val="20"/>
        </w:rPr>
        <w:t>split</w:t>
      </w:r>
      <w:r>
        <w:rPr>
          <w:rFonts w:ascii="Times New Roman" w:hAnsi="Times New Roman"/>
          <w:sz w:val="20"/>
          <w:szCs w:val="20"/>
        </w:rPr>
        <w:t xml:space="preserve"> into</w:t>
      </w:r>
      <w:r>
        <w:rPr>
          <w:rFonts w:hint="eastAsia" w:ascii="Times New Roman" w:hAnsi="Times New Roman"/>
          <w:sz w:val="20"/>
          <w:szCs w:val="20"/>
        </w:rPr>
        <w:t xml:space="preserve"> two parts, one part is for SFN mannered PDSCH/PDCCH, the other part is for non-SFN mannered PDCCH, PDSCH, CSI-RS, etc. In such case, the maximum number of support</w:t>
      </w:r>
      <w:r>
        <w:rPr>
          <w:rFonts w:ascii="Times New Roman" w:hAnsi="Times New Roman"/>
          <w:sz w:val="20"/>
          <w:szCs w:val="20"/>
        </w:rPr>
        <w:t>ed</w:t>
      </w:r>
      <w:r>
        <w:rPr>
          <w:rFonts w:hint="eastAsia" w:ascii="Times New Roman" w:hAnsi="Times New Roman"/>
          <w:sz w:val="20"/>
          <w:szCs w:val="20"/>
        </w:rPr>
        <w:t xml:space="preserve"> TCI states may need to be increased. Otherwise, maximum 128 beams </w:t>
      </w:r>
      <w:r>
        <w:rPr>
          <w:rFonts w:ascii="Times New Roman" w:hAnsi="Times New Roman"/>
          <w:sz w:val="20"/>
          <w:szCs w:val="20"/>
        </w:rPr>
        <w:t>can</w:t>
      </w:r>
      <w:r>
        <w:rPr>
          <w:rFonts w:hint="eastAsia" w:ascii="Times New Roman" w:hAnsi="Times New Roman"/>
          <w:sz w:val="20"/>
          <w:szCs w:val="20"/>
        </w:rPr>
        <w:t xml:space="preserve">not be </w:t>
      </w:r>
      <w:r>
        <w:rPr>
          <w:rFonts w:ascii="Times New Roman" w:hAnsi="Times New Roman"/>
          <w:sz w:val="20"/>
          <w:szCs w:val="20"/>
        </w:rPr>
        <w:t>reached</w:t>
      </w:r>
      <w:r>
        <w:rPr>
          <w:rFonts w:hint="eastAsia" w:ascii="Times New Roman" w:hAnsi="Times New Roman"/>
          <w:sz w:val="20"/>
          <w:szCs w:val="20"/>
        </w:rPr>
        <w:t xml:space="preserve"> for </w:t>
      </w:r>
      <w:r>
        <w:rPr>
          <w:rFonts w:ascii="Times New Roman" w:hAnsi="Times New Roman"/>
          <w:sz w:val="20"/>
          <w:szCs w:val="20"/>
        </w:rPr>
        <w:t>all the</w:t>
      </w:r>
      <w:r>
        <w:rPr>
          <w:rFonts w:hint="eastAsia" w:ascii="Times New Roman" w:hAnsi="Times New Roman"/>
          <w:sz w:val="20"/>
          <w:szCs w:val="20"/>
        </w:rPr>
        <w:t xml:space="preserve"> signals. </w:t>
      </w:r>
    </w:p>
    <w:p>
      <w:pPr>
        <w:numPr>
          <w:ilvl w:val="3"/>
          <w:numId w:val="7"/>
        </w:numPr>
        <w:tabs>
          <w:tab w:val="left" w:pos="840"/>
          <w:tab w:val="clear" w:pos="168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example, maximum 128 beams are needed for a UE where the first 64 TCI sates corresponding to 64 beams are for TRP 0, and the other 64 TCI states also corresponding to 64 beams are for TRP1. If all of the second 64 TCI states for TRP 1 are new QCL typeE which can only be used for SFN mannered PDCCH/PDSCH, another 64 traditional TCI states should be configured for non-SFN mannered PDCCH/PDSCH, CSI-RS for TRP1. So the number of configured TCI states for TRP 1 should be 64+64=128 for 64 beams. The total number of configured TCI states for both TRP0 and TRP1 should be 64+128 = 192 to support 128 beams.  </w:t>
      </w:r>
    </w:p>
    <w:p>
      <w:pPr>
        <w:numPr>
          <w:ilvl w:val="1"/>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flexibility of activated beams by MACCE will be sacrificed. </w:t>
      </w:r>
    </w:p>
    <w:p>
      <w:pPr>
        <w:numPr>
          <w:ilvl w:val="2"/>
          <w:numId w:val="7"/>
        </w:numPr>
        <w:tabs>
          <w:tab w:val="left" w:pos="840"/>
          <w:tab w:val="clear" w:pos="126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Currently, maximum 8 TCI states can be activated by MACCE, wherein one TCI codepoint can map one or two TCI states. For the TCI codepoint mapping to single TCI state, it can be used for single-TRP transmission. For the TCI codepoint mapping to two TCI states, it probably can be used for Rel-16 MTRP including SDM, FDMA, FDMB, TDMA, TDMB and Rel-17 SFN mannered PDSCH. If the new QCL type E is introduced, a TCI codepoint with the new TCI state can only be used for Rel-17 SFN mannered PDSCH, and not used for Rel-16 MTRP anymore. Thus, two separate TCI codepoints should be used for Rel-17 SFN and Rel-16 MTRP scheme respectively even they mapped the same TRS resource as QCL source.</w:t>
      </w:r>
    </w:p>
    <w:p>
      <w:pPr>
        <w:numPr>
          <w:ilvl w:val="3"/>
          <w:numId w:val="7"/>
        </w:numPr>
        <w:tabs>
          <w:tab w:val="left" w:pos="840"/>
          <w:tab w:val="clear" w:pos="168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example, 8 TCI codepoints can only support maximum 4 beam pairs for MTRP including Rel-17 SFN and Rel-16 MTRP schemes.</w:t>
      </w:r>
    </w:p>
    <w:p>
      <w:pPr>
        <w:numPr>
          <w:ilvl w:val="0"/>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Alt.2: </w:t>
      </w:r>
      <w:r>
        <w:rPr>
          <w:rFonts w:ascii="Times New Roman" w:hAnsi="Times New Roman"/>
          <w:sz w:val="20"/>
          <w:szCs w:val="20"/>
        </w:rPr>
        <w:t>W</w:t>
      </w:r>
      <w:r>
        <w:rPr>
          <w:rFonts w:hint="eastAsia" w:ascii="Times New Roman" w:hAnsi="Times New Roman"/>
          <w:sz w:val="20"/>
          <w:szCs w:val="20"/>
        </w:rPr>
        <w:t>hen frequency offset pre-compensation solution is indicated for PDSCH transmission, UE only uses {average delay, delay spread} from the second TCI state (or the first TCI state)</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T</w:t>
      </w:r>
      <w:r>
        <w:rPr>
          <w:rFonts w:hint="eastAsia" w:ascii="Times New Roman" w:hAnsi="Times New Roman"/>
          <w:sz w:val="20"/>
          <w:szCs w:val="20"/>
        </w:rPr>
        <w:t>hat is</w:t>
      </w:r>
      <w:r>
        <w:rPr>
          <w:rFonts w:ascii="Times New Roman" w:hAnsi="Times New Roman"/>
          <w:sz w:val="20"/>
          <w:szCs w:val="20"/>
        </w:rPr>
        <w:t>,</w:t>
      </w:r>
      <w:r>
        <w:rPr>
          <w:rFonts w:hint="eastAsia" w:ascii="Times New Roman" w:hAnsi="Times New Roman"/>
          <w:sz w:val="20"/>
          <w:szCs w:val="20"/>
        </w:rPr>
        <w:t xml:space="preserve"> UE ignores {Doppler shift, Doppler spread} </w:t>
      </w:r>
    </w:p>
    <w:p>
      <w:pPr>
        <w:numPr>
          <w:ilvl w:val="1"/>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There is no RRC impact for TCI state structure. The TCI state structure, indication and activation by MACCE are exactly the same as Rel-16. </w:t>
      </w:r>
    </w:p>
    <w:p>
      <w:pPr>
        <w:numPr>
          <w:ilvl w:val="1"/>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There is not any flexibility sacrifice compared with </w:t>
      </w:r>
      <w:r>
        <w:rPr>
          <w:rFonts w:ascii="Times New Roman" w:hAnsi="Times New Roman"/>
          <w:sz w:val="20"/>
          <w:szCs w:val="20"/>
        </w:rPr>
        <w:t>Rel-16</w:t>
      </w:r>
      <w:r>
        <w:rPr>
          <w:rFonts w:hint="eastAsia" w:ascii="Times New Roman" w:hAnsi="Times New Roman"/>
          <w:sz w:val="20"/>
          <w:szCs w:val="20"/>
        </w:rPr>
        <w:t xml:space="preserve">. </w:t>
      </w:r>
    </w:p>
    <w:p>
      <w:pPr>
        <w:numPr>
          <w:ilvl w:val="1"/>
          <w:numId w:val="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FR1 for MTRP, only two TCI states are needed for Alt.2, but at least three TCI states are needed for Alt.1.</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When frequency offset pre-compensation solution is indicated for PDSCH transmission, UE only uses {average delay, delay spread} from the second TCI state (or the first TCI state), that is UE ignores {Doppler shift, Doppler spread} from the second TCI state (or the first TCI state). </w:t>
      </w:r>
    </w:p>
    <w:p>
      <w:pPr>
        <w:pStyle w:val="4"/>
        <w:snapToGrid w:val="0"/>
        <w:spacing w:before="180" w:beforeLines="50" w:after="180" w:afterLines="50" w:line="240" w:lineRule="auto"/>
        <w:rPr>
          <w:rFonts w:ascii="Times New Roman" w:hAnsi="Times New Roman"/>
          <w:sz w:val="24"/>
          <w:szCs w:val="24"/>
          <w:lang w:val="en-US"/>
        </w:rPr>
      </w:pPr>
      <w:r>
        <w:rPr>
          <w:rFonts w:ascii="Times New Roman" w:hAnsi="Times New Roman"/>
          <w:sz w:val="24"/>
          <w:szCs w:val="24"/>
          <w:lang w:val="en-US"/>
        </w:rPr>
        <w:t>Switching between SFN and legacy transmission schemes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i/>
                <w:iCs/>
                <w:sz w:val="20"/>
                <w:szCs w:val="20"/>
                <w:u w:val="single"/>
              </w:rPr>
            </w:pPr>
            <w:r>
              <w:rPr>
                <w:rFonts w:ascii="Times New Roman" w:hAnsi="Times New Roman"/>
                <w:b/>
                <w:bCs/>
                <w:i/>
                <w:iCs/>
                <w:sz w:val="20"/>
                <w:szCs w:val="20"/>
                <w:u w:val="single"/>
              </w:rPr>
              <w:t>Agreement</w:t>
            </w:r>
            <w:r>
              <w:rPr>
                <w:rFonts w:hint="eastAsia" w:ascii="Times New Roman" w:hAnsi="Times New Roman"/>
                <w:b/>
                <w:bCs/>
                <w:i/>
                <w:iCs/>
                <w:sz w:val="20"/>
                <w:szCs w:val="20"/>
                <w:u w:val="single"/>
              </w:rPr>
              <w:t>#</w:t>
            </w:r>
            <w:r>
              <w:rPr>
                <w:rFonts w:ascii="Times New Roman" w:hAnsi="Times New Roman"/>
                <w:b/>
                <w:bCs/>
                <w:i/>
                <w:iCs/>
                <w:sz w:val="20"/>
                <w:szCs w:val="20"/>
                <w:u w:val="single"/>
              </w:rPr>
              <w:t>5</w:t>
            </w:r>
            <w:r>
              <w:rPr>
                <w:rFonts w:hint="eastAsia" w:ascii="Times New Roman" w:hAnsi="Times New Roman"/>
                <w:b/>
                <w:bCs/>
                <w:i/>
                <w:iCs/>
                <w:sz w:val="20"/>
                <w:szCs w:val="20"/>
                <w:u w:val="single"/>
              </w:rPr>
              <w:t>:</w:t>
            </w:r>
          </w:p>
          <w:p>
            <w:pPr>
              <w:pStyle w:val="25"/>
              <w:shd w:val="clear" w:color="auto" w:fill="FFFFFF"/>
              <w:snapToGrid w:val="0"/>
              <w:jc w:val="both"/>
              <w:rPr>
                <w:rFonts w:ascii="Times New Roman" w:hAnsi="Times New Roman" w:cs="Times New Roman"/>
                <w:i/>
                <w:iCs/>
                <w:color w:val="000000"/>
                <w:sz w:val="20"/>
                <w:szCs w:val="20"/>
              </w:rPr>
            </w:pPr>
            <w:r>
              <w:rPr>
                <w:rFonts w:ascii="Times New Roman" w:hAnsi="Times New Roman" w:cs="Times New Roman"/>
                <w:i/>
                <w:iCs/>
                <w:color w:val="000000"/>
                <w:sz w:val="20"/>
                <w:szCs w:val="20"/>
              </w:rPr>
              <w:t>For HST-SFN scenario:</w:t>
            </w:r>
          </w:p>
          <w:p>
            <w:pPr>
              <w:numPr>
                <w:ilvl w:val="0"/>
                <w:numId w:val="9"/>
              </w:numPr>
              <w:snapToGrid w:val="0"/>
              <w:spacing w:after="0" w:line="240" w:lineRule="auto"/>
              <w:rPr>
                <w:rFonts w:ascii="Times New Roman" w:hAnsi="Times New Roman"/>
                <w:i/>
                <w:iCs/>
                <w:color w:val="000000"/>
                <w:sz w:val="20"/>
                <w:szCs w:val="20"/>
              </w:rPr>
            </w:pPr>
            <w:r>
              <w:rPr>
                <w:rFonts w:ascii="Times New Roman" w:hAnsi="Times New Roman"/>
                <w:i/>
                <w:iCs/>
                <w:color w:val="000000"/>
                <w:sz w:val="20"/>
                <w:szCs w:val="20"/>
              </w:rPr>
              <w:t>Support semi-static (RRC based) switching of scheme 1 (PDSCH) with 2a, 2b, 3, 4</w:t>
            </w:r>
          </w:p>
          <w:p>
            <w:pPr>
              <w:numPr>
                <w:ilvl w:val="0"/>
                <w:numId w:val="10"/>
              </w:numPr>
              <w:snapToGrid w:val="0"/>
              <w:spacing w:after="0" w:line="240" w:lineRule="auto"/>
            </w:pPr>
            <w:r>
              <w:rPr>
                <w:rFonts w:ascii="Times New Roman" w:hAnsi="Times New Roman"/>
                <w:i/>
                <w:iCs/>
                <w:color w:val="000000"/>
                <w:sz w:val="20"/>
                <w:szCs w:val="20"/>
              </w:rPr>
              <w:t>FFS all other details including RRC signaling, possible RAN4 impact (if any), etc.</w:t>
            </w:r>
          </w:p>
        </w:tc>
      </w:tr>
    </w:tbl>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w:t>
      </w:r>
      <w:r>
        <w:rPr>
          <w:rFonts w:hint="eastAsia" w:ascii="Times New Roman" w:hAnsi="Times New Roman"/>
          <w:iCs/>
          <w:sz w:val="20"/>
          <w:szCs w:val="20"/>
        </w:rPr>
        <w:t xml:space="preserve">n RAN1#104 e-meeting, RRC based switching between SFN </w:t>
      </w:r>
      <w:r>
        <w:rPr>
          <w:rFonts w:ascii="Times New Roman" w:hAnsi="Times New Roman"/>
          <w:iCs/>
          <w:sz w:val="20"/>
          <w:szCs w:val="20"/>
        </w:rPr>
        <w:t>scheme 1</w:t>
      </w:r>
      <w:r>
        <w:rPr>
          <w:rFonts w:hint="eastAsia" w:ascii="Times New Roman" w:hAnsi="Times New Roman"/>
          <w:iCs/>
          <w:sz w:val="20"/>
          <w:szCs w:val="20"/>
        </w:rPr>
        <w:t xml:space="preserve"> and Rel-16 TDM</w:t>
      </w:r>
      <w:r>
        <w:rPr>
          <w:rFonts w:ascii="Times New Roman" w:hAnsi="Times New Roman"/>
          <w:iCs/>
          <w:sz w:val="20"/>
          <w:szCs w:val="20"/>
        </w:rPr>
        <w:t>-</w:t>
      </w:r>
      <w:r>
        <w:rPr>
          <w:rFonts w:hint="eastAsia" w:ascii="Times New Roman" w:hAnsi="Times New Roman"/>
          <w:iCs/>
          <w:sz w:val="20"/>
          <w:szCs w:val="20"/>
        </w:rPr>
        <w:t>A/TDM</w:t>
      </w:r>
      <w:r>
        <w:rPr>
          <w:rFonts w:ascii="Times New Roman" w:hAnsi="Times New Roman"/>
          <w:iCs/>
          <w:sz w:val="20"/>
          <w:szCs w:val="20"/>
        </w:rPr>
        <w:t>-</w:t>
      </w:r>
      <w:r>
        <w:rPr>
          <w:rFonts w:hint="eastAsia" w:ascii="Times New Roman" w:hAnsi="Times New Roman"/>
          <w:iCs/>
          <w:sz w:val="20"/>
          <w:szCs w:val="20"/>
        </w:rPr>
        <w:t>B/FDM</w:t>
      </w:r>
      <w:r>
        <w:rPr>
          <w:rFonts w:ascii="Times New Roman" w:hAnsi="Times New Roman"/>
          <w:iCs/>
          <w:sz w:val="20"/>
          <w:szCs w:val="20"/>
        </w:rPr>
        <w:t>-</w:t>
      </w:r>
      <w:r>
        <w:rPr>
          <w:rFonts w:hint="eastAsia" w:ascii="Times New Roman" w:hAnsi="Times New Roman"/>
          <w:iCs/>
          <w:sz w:val="20"/>
          <w:szCs w:val="20"/>
        </w:rPr>
        <w:t>A/FDM</w:t>
      </w:r>
      <w:r>
        <w:rPr>
          <w:rFonts w:ascii="Times New Roman" w:hAnsi="Times New Roman"/>
          <w:iCs/>
          <w:sz w:val="20"/>
          <w:szCs w:val="20"/>
        </w:rPr>
        <w:t>-</w:t>
      </w:r>
      <w:r>
        <w:rPr>
          <w:rFonts w:hint="eastAsia" w:ascii="Times New Roman" w:hAnsi="Times New Roman"/>
          <w:iCs/>
          <w:sz w:val="20"/>
          <w:szCs w:val="20"/>
        </w:rPr>
        <w:t>B method</w:t>
      </w:r>
      <w:r>
        <w:rPr>
          <w:rFonts w:ascii="Times New Roman" w:hAnsi="Times New Roman"/>
          <w:iCs/>
          <w:sz w:val="20"/>
          <w:szCs w:val="20"/>
        </w:rPr>
        <w:t xml:space="preserve"> was agreed</w:t>
      </w:r>
      <w:r>
        <w:rPr>
          <w:rFonts w:hint="eastAsia" w:ascii="Times New Roman" w:hAnsi="Times New Roman"/>
          <w:iCs/>
          <w:sz w:val="20"/>
          <w:szCs w:val="20"/>
        </w:rPr>
        <w:t xml:space="preserve">. </w:t>
      </w:r>
      <w:r>
        <w:rPr>
          <w:rFonts w:ascii="Times New Roman" w:hAnsi="Times New Roman"/>
          <w:iCs/>
          <w:sz w:val="20"/>
          <w:szCs w:val="20"/>
        </w:rPr>
        <w:t>There are still two issues left.</w:t>
      </w:r>
    </w:p>
    <w:p>
      <w:pPr>
        <w:pStyle w:val="99"/>
        <w:numPr>
          <w:ilvl w:val="0"/>
          <w:numId w:val="11"/>
        </w:numPr>
        <w:snapToGrid w:val="0"/>
        <w:spacing w:before="180" w:beforeLines="50" w:after="180" w:afterLines="50" w:line="240" w:lineRule="auto"/>
        <w:ind w:firstLineChars="0"/>
        <w:jc w:val="both"/>
        <w:rPr>
          <w:rFonts w:ascii="Times New Roman" w:hAnsi="Times New Roman"/>
          <w:iCs/>
          <w:sz w:val="20"/>
          <w:szCs w:val="20"/>
        </w:rPr>
      </w:pPr>
      <w:r>
        <w:rPr>
          <w:rFonts w:hint="eastAsia" w:ascii="Times New Roman" w:hAnsi="Times New Roman"/>
          <w:iCs/>
          <w:sz w:val="20"/>
          <w:szCs w:val="20"/>
        </w:rPr>
        <w:t>I</w:t>
      </w:r>
      <w:r>
        <w:rPr>
          <w:rFonts w:ascii="Times New Roman" w:hAnsi="Times New Roman"/>
          <w:iCs/>
          <w:sz w:val="20"/>
          <w:szCs w:val="20"/>
        </w:rPr>
        <w:t>ssue1: Whether support dynamic switching between SFN scheme 1 and STRP transmission</w:t>
      </w:r>
    </w:p>
    <w:p>
      <w:pPr>
        <w:pStyle w:val="99"/>
        <w:snapToGrid w:val="0"/>
        <w:spacing w:before="180" w:beforeLines="50" w:after="180" w:afterLines="50" w:line="240" w:lineRule="auto"/>
        <w:ind w:left="420" w:firstLine="0" w:firstLineChars="0"/>
        <w:jc w:val="both"/>
        <w:rPr>
          <w:rFonts w:ascii="Times New Roman" w:hAnsi="Times New Roman"/>
          <w:iCs/>
          <w:sz w:val="20"/>
          <w:szCs w:val="20"/>
        </w:rPr>
      </w:pPr>
      <w:r>
        <w:rPr>
          <w:rFonts w:ascii="Times New Roman" w:hAnsi="Times New Roman"/>
          <w:iCs/>
          <w:sz w:val="20"/>
          <w:szCs w:val="20"/>
        </w:rPr>
        <w:t>In our view, STRP transmission is the most basic transmission scheme, and it should be always supported even SFN or other MTRP scheme is enabled by RRC signaling. So dynamic switching between SFN and STRP should be supported without additional UE capability. Further, dynamic switching between PDSCH scheduled by fall back DCI format 1_0 which is STRP transmission and SFN PDSCH have to be supported. That is, dynamic switching between SFN scheme 1 and STRP transmission should be supported.</w:t>
      </w:r>
    </w:p>
    <w:p>
      <w:pPr>
        <w:pStyle w:val="99"/>
        <w:numPr>
          <w:ilvl w:val="0"/>
          <w:numId w:val="11"/>
        </w:numPr>
        <w:snapToGrid w:val="0"/>
        <w:spacing w:before="180" w:beforeLines="50" w:after="180" w:afterLines="50" w:line="240" w:lineRule="auto"/>
        <w:ind w:firstLineChars="0"/>
        <w:jc w:val="both"/>
        <w:rPr>
          <w:rFonts w:ascii="Times New Roman" w:hAnsi="Times New Roman"/>
          <w:iCs/>
          <w:sz w:val="20"/>
          <w:szCs w:val="20"/>
        </w:rPr>
      </w:pPr>
      <w:r>
        <w:rPr>
          <w:rFonts w:ascii="Times New Roman" w:hAnsi="Times New Roman"/>
          <w:iCs/>
          <w:sz w:val="20"/>
          <w:szCs w:val="20"/>
        </w:rPr>
        <w:t>Issue2: Whether support dynamic switching between SFN scheme 1 and Rel-16 SDM based MTRP</w:t>
      </w:r>
    </w:p>
    <w:p>
      <w:pPr>
        <w:pStyle w:val="99"/>
        <w:snapToGrid w:val="0"/>
        <w:spacing w:before="180" w:beforeLines="50" w:after="180" w:afterLines="50" w:line="240" w:lineRule="auto"/>
        <w:ind w:left="420" w:firstLine="0" w:firstLineChars="0"/>
        <w:jc w:val="both"/>
        <w:rPr>
          <w:rFonts w:ascii="Times New Roman" w:hAnsi="Times New Roman"/>
          <w:iCs/>
          <w:sz w:val="20"/>
          <w:szCs w:val="20"/>
        </w:rPr>
      </w:pPr>
      <w:r>
        <w:rPr>
          <w:rFonts w:ascii="Times New Roman" w:hAnsi="Times New Roman"/>
          <w:iCs/>
          <w:sz w:val="20"/>
          <w:szCs w:val="20"/>
        </w:rPr>
        <w:t>Since Rel-16 has supported dynamic switching between SDM and other MTRP schemes, it is natural to support dynamic switching between SFN scheme 1 and SDM in Rel-17 as well. O</w:t>
      </w:r>
      <w:r>
        <w:rPr>
          <w:rFonts w:hint="eastAsia" w:ascii="Times New Roman" w:hAnsi="Times New Roman"/>
          <w:iCs/>
          <w:sz w:val="20"/>
          <w:szCs w:val="20"/>
        </w:rPr>
        <w:t>the</w:t>
      </w:r>
      <w:r>
        <w:rPr>
          <w:rFonts w:ascii="Times New Roman" w:hAnsi="Times New Roman"/>
          <w:iCs/>
          <w:sz w:val="20"/>
          <w:szCs w:val="20"/>
        </w:rPr>
        <w:t>rwise, it will be a backward design.</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If</w:t>
      </w:r>
      <w:r>
        <w:rPr>
          <w:rFonts w:hint="eastAsia" w:ascii="Times New Roman" w:hAnsi="Times New Roman"/>
          <w:iCs/>
          <w:sz w:val="20"/>
          <w:szCs w:val="20"/>
        </w:rPr>
        <w:t xml:space="preserve"> frequency offset pre-compensation based solution described in section 2.1.1 is</w:t>
      </w:r>
      <w:r>
        <w:rPr>
          <w:rFonts w:ascii="Times New Roman" w:hAnsi="Times New Roman"/>
          <w:iCs/>
          <w:sz w:val="20"/>
          <w:szCs w:val="20"/>
        </w:rPr>
        <w:t xml:space="preserve"> agreed, only one of SFN scheme 1 and frequency offset pre-compensation based solution can be enabled</w:t>
      </w:r>
      <w:r>
        <w:rPr>
          <w:rFonts w:hint="eastAsia" w:ascii="Times New Roman" w:hAnsi="Times New Roman"/>
          <w:iCs/>
          <w:sz w:val="20"/>
          <w:szCs w:val="20"/>
        </w:rPr>
        <w:t xml:space="preserve"> by RRC signaling</w:t>
      </w:r>
      <w:r>
        <w:rPr>
          <w:rFonts w:ascii="Times New Roman" w:hAnsi="Times New Roman"/>
          <w:iCs/>
          <w:sz w:val="20"/>
          <w:szCs w:val="20"/>
        </w:rPr>
        <w:t xml:space="preserve">. The dynamic switching among </w:t>
      </w:r>
      <w:r>
        <w:rPr>
          <w:rFonts w:hint="eastAsia" w:ascii="Times New Roman" w:hAnsi="Times New Roman"/>
          <w:iCs/>
          <w:sz w:val="20"/>
          <w:szCs w:val="20"/>
        </w:rPr>
        <w:t>frequency offset pre-compensation based</w:t>
      </w:r>
      <w:r>
        <w:rPr>
          <w:rFonts w:ascii="Times New Roman" w:hAnsi="Times New Roman"/>
          <w:iCs/>
          <w:sz w:val="20"/>
          <w:szCs w:val="20"/>
        </w:rPr>
        <w:t xml:space="preserve"> SFN, STRP and </w:t>
      </w:r>
      <w:r>
        <w:rPr>
          <w:rFonts w:ascii="Times New Roman" w:hAnsi="Times New Roman"/>
          <w:sz w:val="20"/>
          <w:szCs w:val="20"/>
        </w:rPr>
        <w:t>Rel-16 SDM MTRP should also be supported.</w:t>
      </w:r>
      <w:r>
        <w:rPr>
          <w:rFonts w:ascii="Times New Roman" w:hAnsi="Times New Roman"/>
          <w:iCs/>
          <w:sz w:val="20"/>
          <w:szCs w:val="20"/>
        </w:rPr>
        <w:t xml:space="preserve"> </w:t>
      </w:r>
      <w:r>
        <w:rPr>
          <w:rFonts w:hint="eastAsia" w:ascii="Times New Roman" w:hAnsi="Times New Roman"/>
          <w:iCs/>
          <w:sz w:val="20"/>
          <w:szCs w:val="20"/>
        </w:rPr>
        <w:t xml:space="preserve"> </w:t>
      </w:r>
    </w:p>
    <w:p>
      <w:pPr>
        <w:snapToGrid w:val="0"/>
        <w:spacing w:after="0" w:line="240" w:lineRule="auto"/>
        <w:jc w:val="both"/>
        <w:rPr>
          <w:rFonts w:ascii="Times New Roman" w:hAnsi="Times New Roman"/>
          <w:iCs/>
          <w:sz w:val="20"/>
          <w:szCs w:val="20"/>
        </w:rPr>
      </w:pPr>
      <w:bookmarkStart w:id="14" w:name="OLE_LINK7"/>
      <w:bookmarkStart w:id="15" w:name="OLE_LINK3"/>
      <w:bookmarkStart w:id="16" w:name="OLE_LINK15"/>
      <w:r>
        <w:rPr>
          <w:rFonts w:hint="eastAsia" w:ascii="Times New Roman" w:hAnsi="Times New Roman"/>
          <w:b/>
          <w:bCs/>
          <w:i/>
          <w:iCs/>
          <w:sz w:val="20"/>
          <w:szCs w:val="20"/>
        </w:rPr>
        <w:t xml:space="preserve">Proposal </w:t>
      </w:r>
      <w:r>
        <w:rPr>
          <w:rFonts w:ascii="Times New Roman" w:hAnsi="Times New Roman"/>
          <w:b/>
          <w:bCs/>
          <w:i/>
          <w:iCs/>
          <w:sz w:val="20"/>
          <w:szCs w:val="20"/>
        </w:rPr>
        <w:t>3</w:t>
      </w:r>
      <w:r>
        <w:rPr>
          <w:rFonts w:hint="eastAsia" w:ascii="Times New Roman" w:hAnsi="Times New Roman"/>
          <w:b/>
          <w:bCs/>
          <w:i/>
          <w:iCs/>
          <w:sz w:val="20"/>
          <w:szCs w:val="20"/>
        </w:rPr>
        <w:t>:</w:t>
      </w:r>
      <w:bookmarkEnd w:id="14"/>
      <w:r>
        <w:rPr>
          <w:rFonts w:ascii="Times New Roman" w:hAnsi="Times New Roman"/>
          <w:bCs/>
          <w:i/>
          <w:iCs/>
          <w:sz w:val="20"/>
          <w:szCs w:val="20"/>
        </w:rPr>
        <w:t xml:space="preserve"> </w:t>
      </w:r>
      <w:r>
        <w:rPr>
          <w:rFonts w:hint="eastAsia" w:ascii="Times New Roman" w:hAnsi="Times New Roman"/>
          <w:i/>
          <w:sz w:val="20"/>
          <w:szCs w:val="20"/>
        </w:rPr>
        <w:t>Support dynamic switching among single-TRP, Rel-17 SFN and Rel-16 SDM MTRP scheme</w:t>
      </w:r>
      <w:bookmarkEnd w:id="15"/>
      <w:r>
        <w:rPr>
          <w:rFonts w:hint="eastAsia" w:ascii="Times New Roman" w:hAnsi="Times New Roman"/>
          <w:iCs/>
          <w:sz w:val="20"/>
          <w:szCs w:val="20"/>
        </w:rPr>
        <w:t xml:space="preserve">. </w:t>
      </w:r>
      <w:bookmarkStart w:id="17" w:name="OLE_LINK19"/>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addition, b</w:t>
      </w:r>
      <w:r>
        <w:rPr>
          <w:rFonts w:hint="eastAsia" w:ascii="Times New Roman" w:hAnsi="Times New Roman"/>
          <w:sz w:val="20"/>
          <w:szCs w:val="20"/>
        </w:rPr>
        <w:t>ecause of high UE speed and mostly LoS link propagation, PDSCH transmission rank is usually limited, e.g. up to rank 2. It is natural to restrict all allocated DMRS ports within one CDM group for SFN mannered PDSCH transmission. Then, it could be possible to support dynamic switching between MTRP SDM and SFN manner differentiated by the number of CDM groups.</w:t>
      </w:r>
    </w:p>
    <w:p>
      <w:pPr>
        <w:pStyle w:val="96"/>
        <w:numPr>
          <w:ilvl w:val="255"/>
          <w:numId w:val="0"/>
        </w:numPr>
        <w:snapToGrid w:val="0"/>
        <w:spacing w:after="0" w:line="240" w:lineRule="auto"/>
        <w:contextualSpacing/>
        <w:jc w:val="both"/>
        <w:rPr>
          <w:rFonts w:ascii="Times New Roman" w:hAnsi="Times New Roman"/>
          <w:i/>
          <w:sz w:val="20"/>
          <w:szCs w:val="20"/>
        </w:rPr>
      </w:pPr>
      <w:r>
        <w:rPr>
          <w:rFonts w:hint="eastAsia" w:ascii="Times New Roman" w:hAnsi="Times New Roman"/>
          <w:b/>
          <w:bCs/>
          <w:i/>
          <w:iCs/>
          <w:sz w:val="20"/>
          <w:szCs w:val="20"/>
        </w:rPr>
        <w:t xml:space="preserve">Proposal </w:t>
      </w:r>
      <w:r>
        <w:rPr>
          <w:rFonts w:ascii="Times New Roman" w:hAnsi="Times New Roman"/>
          <w:b/>
          <w:bCs/>
          <w:i/>
          <w:iCs/>
          <w:sz w:val="20"/>
          <w:szCs w:val="20"/>
        </w:rPr>
        <w:t>4</w:t>
      </w:r>
      <w:r>
        <w:rPr>
          <w:rFonts w:hint="eastAsia" w:ascii="Times New Roman" w:hAnsi="Times New Roman"/>
          <w:b/>
          <w:bCs/>
          <w:i/>
          <w:iCs/>
          <w:sz w:val="20"/>
          <w:szCs w:val="20"/>
        </w:rPr>
        <w:t xml:space="preserve">: </w:t>
      </w:r>
      <w:r>
        <w:rPr>
          <w:rFonts w:hint="eastAsia" w:ascii="Times New Roman" w:hAnsi="Times New Roman"/>
          <w:bCs/>
          <w:i/>
          <w:iCs/>
          <w:sz w:val="20"/>
          <w:szCs w:val="20"/>
        </w:rPr>
        <w:t>For SFN based PDSCH transmission, support all DMRS ports are within one CDM group</w:t>
      </w:r>
    </w:p>
    <w:bookmarkEnd w:id="17"/>
    <w:p>
      <w:pPr>
        <w:pStyle w:val="3"/>
        <w:numPr>
          <w:ilvl w:val="1"/>
          <w:numId w:val="4"/>
        </w:numPr>
        <w:snapToGrid w:val="0"/>
        <w:spacing w:before="180" w:beforeLines="50" w:after="180" w:afterLines="50"/>
        <w:rPr>
          <w:rFonts w:ascii="Arial" w:hAnsi="Arial" w:cs="Arial"/>
          <w:sz w:val="24"/>
          <w:szCs w:val="24"/>
          <w:lang w:val="en-US"/>
        </w:rPr>
      </w:pPr>
      <w:r>
        <w:rPr>
          <w:rFonts w:ascii="Arial" w:hAnsi="Arial" w:cs="Arial"/>
          <w:sz w:val="24"/>
          <w:szCs w:val="24"/>
          <w:lang w:val="en-US"/>
        </w:rPr>
        <w:t>Default TCI state</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Agreement#6</w:t>
            </w:r>
            <w:r>
              <w:rPr>
                <w:rFonts w:hint="eastAsia" w:ascii="Times New Roman" w:hAnsi="Times New Roman"/>
                <w:b/>
                <w:bCs/>
                <w:i/>
                <w:iCs/>
                <w:sz w:val="20"/>
                <w:szCs w:val="20"/>
                <w:u w:val="single"/>
              </w:rPr>
              <w:t>:</w:t>
            </w:r>
          </w:p>
          <w:p>
            <w:pPr>
              <w:pStyle w:val="98"/>
              <w:numPr>
                <w:ilvl w:val="0"/>
                <w:numId w:val="6"/>
              </w:numPr>
              <w:snapToGrid w:val="0"/>
              <w:spacing w:after="0" w:line="240" w:lineRule="auto"/>
              <w:ind w:left="726" w:hanging="363"/>
              <w:jc w:val="both"/>
              <w:rPr>
                <w:rFonts w:ascii="Times" w:hAnsi="Times" w:cs="Times"/>
                <w:i/>
                <w:iCs/>
                <w:sz w:val="20"/>
                <w:szCs w:val="20"/>
              </w:rPr>
            </w:pPr>
            <w:r>
              <w:rPr>
                <w:rFonts w:ascii="Times" w:hAnsi="Times" w:cs="Times"/>
                <w:i/>
                <w:iCs/>
                <w:sz w:val="20"/>
                <w:szCs w:val="20"/>
              </w:rPr>
              <w:t>Support MAC CE activation of two TCI states for PDCCH</w:t>
            </w:r>
          </w:p>
          <w:p>
            <w:pPr>
              <w:pStyle w:val="98"/>
              <w:numPr>
                <w:ilvl w:val="0"/>
                <w:numId w:val="6"/>
              </w:numPr>
              <w:snapToGrid w:val="0"/>
              <w:spacing w:after="0" w:line="240" w:lineRule="auto"/>
              <w:ind w:left="726" w:hanging="363"/>
              <w:jc w:val="both"/>
            </w:pPr>
            <w:r>
              <w:rPr>
                <w:rFonts w:ascii="Times" w:hAnsi="Times" w:cs="Times"/>
                <w:i/>
                <w:iCs/>
                <w:sz w:val="20"/>
                <w:szCs w:val="20"/>
              </w:rPr>
              <w:t>FFS other details</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the case when the slot offset between PDCCH and PDSCH</w:t>
      </w:r>
      <w:r>
        <w:rPr>
          <w:rFonts w:ascii="Times New Roman" w:hAnsi="Times New Roman"/>
          <w:sz w:val="20"/>
          <w:szCs w:val="20"/>
        </w:rPr>
        <w:t>/AP CSI-RS</w:t>
      </w:r>
      <w:r>
        <w:rPr>
          <w:rFonts w:hint="eastAsia" w:ascii="Times New Roman" w:hAnsi="Times New Roman"/>
          <w:sz w:val="20"/>
          <w:szCs w:val="20"/>
        </w:rPr>
        <w:t xml:space="preserve"> is smaller than the threshold,</w:t>
      </w:r>
      <w:r>
        <w:rPr>
          <w:rFonts w:ascii="Times New Roman" w:hAnsi="Times New Roman"/>
          <w:sz w:val="20"/>
          <w:szCs w:val="20"/>
        </w:rPr>
        <w:t xml:space="preserve"> UE will use the default beam for DL receiving, where</w:t>
      </w:r>
      <w:r>
        <w:rPr>
          <w:rFonts w:hint="eastAsia" w:ascii="Times New Roman" w:hAnsi="Times New Roman"/>
          <w:sz w:val="20"/>
          <w:szCs w:val="20"/>
        </w:rPr>
        <w:t xml:space="preserve"> the default beam of PDSCH</w:t>
      </w:r>
      <w:r>
        <w:rPr>
          <w:rFonts w:ascii="Times New Roman" w:hAnsi="Times New Roman"/>
          <w:sz w:val="20"/>
          <w:szCs w:val="20"/>
        </w:rPr>
        <w:t>/AP CSI-RS</w:t>
      </w:r>
      <w:r>
        <w:rPr>
          <w:rFonts w:hint="eastAsia" w:ascii="Times New Roman" w:hAnsi="Times New Roman"/>
          <w:sz w:val="20"/>
          <w:szCs w:val="20"/>
        </w:rPr>
        <w:t xml:space="preserve"> may be the same as </w:t>
      </w:r>
      <w:r>
        <w:rPr>
          <w:rFonts w:ascii="Times New Roman" w:hAnsi="Times New Roman"/>
          <w:sz w:val="20"/>
          <w:szCs w:val="20"/>
        </w:rPr>
        <w:t>PDCCH based on Rel-15 and Rel-16 procedure. However, a</w:t>
      </w:r>
      <w:r>
        <w:rPr>
          <w:rFonts w:hint="eastAsia" w:ascii="Times New Roman" w:hAnsi="Times New Roman"/>
          <w:sz w:val="20"/>
          <w:szCs w:val="20"/>
        </w:rPr>
        <w:t xml:space="preserve">s shown in above </w:t>
      </w:r>
      <w:r>
        <w:rPr>
          <w:rFonts w:ascii="Times New Roman" w:hAnsi="Times New Roman"/>
          <w:caps/>
          <w:sz w:val="20"/>
          <w:szCs w:val="20"/>
        </w:rPr>
        <w:t>A</w:t>
      </w:r>
      <w:r>
        <w:rPr>
          <w:rFonts w:hint="eastAsia" w:ascii="Times New Roman" w:hAnsi="Times New Roman"/>
          <w:sz w:val="20"/>
          <w:szCs w:val="20"/>
        </w:rPr>
        <w:t>greement</w:t>
      </w:r>
      <w:r>
        <w:rPr>
          <w:rFonts w:ascii="Times New Roman" w:hAnsi="Times New Roman"/>
          <w:sz w:val="20"/>
          <w:szCs w:val="20"/>
        </w:rPr>
        <w:t>#6</w:t>
      </w:r>
      <w:r>
        <w:rPr>
          <w:rFonts w:hint="eastAsia" w:ascii="Times New Roman" w:hAnsi="Times New Roman"/>
          <w:sz w:val="20"/>
          <w:szCs w:val="20"/>
        </w:rPr>
        <w:t xml:space="preserve"> which supports SFN mannered PDCCH with two TCI states,</w:t>
      </w:r>
      <w:r>
        <w:rPr>
          <w:rFonts w:ascii="Times New Roman" w:hAnsi="Times New Roman"/>
          <w:sz w:val="20"/>
          <w:szCs w:val="20"/>
        </w:rPr>
        <w:t xml:space="preserve"> if there is mismatch between the number of indicated TCI states for PDCCH and for PDSCH/AP CSI-RS in Rel-17, the rule of default TCI states defined in Rel-15 and Rel-16 may not be applied directly. </w:t>
      </w:r>
    </w:p>
    <w:p>
      <w:pPr>
        <w:pStyle w:val="4"/>
        <w:numPr>
          <w:ilvl w:val="0"/>
          <w:numId w:val="0"/>
        </w:numPr>
        <w:snapToGrid w:val="0"/>
        <w:spacing w:before="180" w:beforeLines="50" w:after="180" w:afterLines="50" w:line="240" w:lineRule="auto"/>
        <w:ind w:left="720" w:hanging="720"/>
        <w:rPr>
          <w:rFonts w:ascii="Times New Roman" w:hAnsi="Times New Roman"/>
          <w:sz w:val="24"/>
          <w:szCs w:val="24"/>
          <w:lang w:val="en-US"/>
        </w:rPr>
      </w:pPr>
      <w:r>
        <w:rPr>
          <w:rFonts w:ascii="Times New Roman" w:hAnsi="Times New Roman"/>
          <w:sz w:val="24"/>
          <w:szCs w:val="24"/>
          <w:lang w:val="en-US"/>
        </w:rPr>
        <w:t>2.2.1 For PDSCH</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PDSCH default TCI states, there are following cases should be discussed. </w:t>
      </w:r>
    </w:p>
    <w:p>
      <w:pPr>
        <w:pStyle w:val="99"/>
        <w:numPr>
          <w:ilvl w:val="0"/>
          <w:numId w:val="12"/>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Case 1: at least one TCI codepoint in MACCE indicates two TCI states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Rel-16, </w:t>
      </w:r>
      <w:r>
        <w:rPr>
          <w:rFonts w:hint="eastAsia" w:ascii="Times New Roman" w:hAnsi="Times New Roman"/>
          <w:sz w:val="20"/>
          <w:szCs w:val="20"/>
        </w:rPr>
        <w:t>when the slot offset between PDCCH and PDSCH is smaller than the threshold</w:t>
      </w:r>
      <w:r>
        <w:rPr>
          <w:rFonts w:ascii="Times New Roman" w:hAnsi="Times New Roman"/>
          <w:sz w:val="20"/>
          <w:szCs w:val="20"/>
        </w:rPr>
        <w:t>, i</w:t>
      </w:r>
      <w:r>
        <w:rPr>
          <w:rFonts w:hint="eastAsia" w:ascii="Times New Roman" w:hAnsi="Times New Roman"/>
          <w:sz w:val="20"/>
          <w:szCs w:val="20"/>
        </w:rPr>
        <w:t xml:space="preserve">f </w:t>
      </w:r>
      <w:r>
        <w:rPr>
          <w:rFonts w:ascii="Times New Roman" w:hAnsi="Times New Roman"/>
          <w:sz w:val="20"/>
          <w:szCs w:val="20"/>
        </w:rPr>
        <w:t xml:space="preserve">at least one TCI codepoint indicates two TCI states and </w:t>
      </w:r>
      <w:r>
        <w:rPr>
          <w:rFonts w:hint="eastAsia" w:ascii="Times New Roman" w:hAnsi="Times New Roman"/>
          <w:sz w:val="20"/>
          <w:szCs w:val="20"/>
        </w:rPr>
        <w:t xml:space="preserve">the higher layer configured </w:t>
      </w:r>
      <w:r>
        <w:rPr>
          <w:rFonts w:ascii="Times New Roman" w:hAnsi="Times New Roman"/>
          <w:sz w:val="20"/>
          <w:szCs w:val="20"/>
        </w:rPr>
        <w:t xml:space="preserve">with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ascii="Times New Roman" w:hAnsi="Times New Roman"/>
          <w:sz w:val="20"/>
          <w:szCs w:val="20"/>
        </w:rPr>
        <w:t xml:space="preserve">, </w:t>
      </w:r>
      <w:r>
        <w:rPr>
          <w:rFonts w:hint="eastAsia" w:ascii="Times New Roman" w:hAnsi="Times New Roman"/>
          <w:sz w:val="20"/>
          <w:szCs w:val="20"/>
        </w:rPr>
        <w:t>the default TCI state</w:t>
      </w:r>
      <w:r>
        <w:rPr>
          <w:rFonts w:ascii="Times New Roman" w:hAnsi="Times New Roman"/>
          <w:sz w:val="20"/>
          <w:szCs w:val="20"/>
        </w:rPr>
        <w:t>s</w:t>
      </w:r>
      <w:r>
        <w:rPr>
          <w:rFonts w:hint="eastAsia" w:ascii="Times New Roman" w:hAnsi="Times New Roman"/>
          <w:sz w:val="20"/>
          <w:szCs w:val="20"/>
        </w:rPr>
        <w:t xml:space="preserve"> of PDSCH </w:t>
      </w:r>
      <w:r>
        <w:rPr>
          <w:rFonts w:ascii="Times New Roman" w:hAnsi="Times New Roman"/>
          <w:sz w:val="20"/>
          <w:szCs w:val="20"/>
        </w:rPr>
        <w:t xml:space="preserve">for Rel-16 MTRP </w:t>
      </w:r>
      <w:r>
        <w:rPr>
          <w:rFonts w:hint="eastAsia" w:ascii="Times New Roman" w:hAnsi="Times New Roman"/>
          <w:sz w:val="20"/>
          <w:szCs w:val="20"/>
        </w:rPr>
        <w:t xml:space="preserve">should be </w:t>
      </w:r>
      <w:r>
        <w:rPr>
          <w:rFonts w:ascii="Times New Roman" w:hAnsi="Times New Roman"/>
          <w:sz w:val="20"/>
          <w:szCs w:val="20"/>
        </w:rPr>
        <w:t>the TCI states contained in the lowest codepoint among the TCI codepoints containing two different TCI states.</w:t>
      </w:r>
      <w:r>
        <w:rPr>
          <w:rFonts w:hint="eastAsia" w:ascii="Times New Roman" w:hAnsi="Times New Roman"/>
          <w:sz w:val="20"/>
          <w:szCs w:val="20"/>
        </w:rPr>
        <w:t xml:space="preserve"> </w:t>
      </w:r>
      <w:r>
        <w:rPr>
          <w:rFonts w:ascii="Times New Roman" w:hAnsi="Times New Roman"/>
          <w:sz w:val="20"/>
          <w:szCs w:val="20"/>
        </w:rPr>
        <w:t xml:space="preserve">The </w:t>
      </w:r>
      <w:r>
        <w:rPr>
          <w:rFonts w:hint="eastAsia" w:ascii="Times New Roman" w:hAnsi="Times New Roman"/>
          <w:sz w:val="20"/>
          <w:szCs w:val="20"/>
        </w:rPr>
        <w:t>mapping</w:t>
      </w:r>
      <w:r>
        <w:rPr>
          <w:rFonts w:ascii="Times New Roman" w:hAnsi="Times New Roman"/>
          <w:sz w:val="20"/>
          <w:szCs w:val="20"/>
        </w:rPr>
        <w:t xml:space="preserve"> between two default TCI states and PDSCH transmission occasions depends on the specific MTRP schemes, e.g. TDMA, TDMB, etc.</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Rel-17, if SFN based MTRP transmission is used for PDSCH, </w:t>
      </w:r>
      <w:r>
        <w:rPr>
          <w:rFonts w:hint="eastAsia" w:ascii="Times New Roman" w:hAnsi="Times New Roman"/>
          <w:sz w:val="20"/>
          <w:szCs w:val="20"/>
        </w:rPr>
        <w:t xml:space="preserve">the two TCI states in the lowest codepoint </w:t>
      </w:r>
      <w:r>
        <w:rPr>
          <w:rFonts w:ascii="Times New Roman" w:hAnsi="Times New Roman"/>
          <w:sz w:val="20"/>
          <w:szCs w:val="20"/>
        </w:rPr>
        <w:t xml:space="preserve">containing two TCI states can still be used as default TCI states when </w:t>
      </w:r>
      <w:r>
        <w:rPr>
          <w:rFonts w:hint="eastAsia" w:ascii="Times New Roman" w:hAnsi="Times New Roman"/>
          <w:sz w:val="20"/>
          <w:szCs w:val="20"/>
        </w:rPr>
        <w:t>the slot offset between PDCCH and PDSCH is smaller than the threshold</w:t>
      </w:r>
      <w:r>
        <w:rPr>
          <w:rFonts w:ascii="Times New Roman" w:hAnsi="Times New Roman"/>
          <w:sz w:val="20"/>
          <w:szCs w:val="20"/>
        </w:rPr>
        <w:t xml:space="preserve">. That is, each DMRS port of PDSCH transmission should be associated with </w:t>
      </w:r>
      <w:r>
        <w:rPr>
          <w:rFonts w:hint="eastAsia" w:ascii="Times New Roman" w:hAnsi="Times New Roman"/>
          <w:sz w:val="20"/>
          <w:szCs w:val="20"/>
        </w:rPr>
        <w:t>the two TCI states in the lowest codepoint</w:t>
      </w:r>
      <w:r>
        <w:rPr>
          <w:rFonts w:ascii="Times New Roman" w:hAnsi="Times New Roman"/>
          <w:sz w:val="20"/>
          <w:szCs w:val="20"/>
        </w:rPr>
        <w:t xml:space="preserve"> among the TCI codepoints containing two different TCI states.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w:t>
      </w:r>
      <w:r>
        <w:rPr>
          <w:rFonts w:hint="eastAsia" w:ascii="Times New Roman" w:hAnsi="Times New Roman"/>
          <w:sz w:val="20"/>
          <w:szCs w:val="20"/>
        </w:rPr>
        <w:t xml:space="preserve">f </w:t>
      </w:r>
      <w:r>
        <w:rPr>
          <w:rFonts w:ascii="Times New Roman" w:hAnsi="Times New Roman"/>
          <w:sz w:val="20"/>
          <w:szCs w:val="20"/>
        </w:rPr>
        <w:t xml:space="preserve">there is dynamic switching between single TRP and SFN based MTRP, and the real </w:t>
      </w:r>
      <w:r>
        <w:rPr>
          <w:rFonts w:hint="eastAsia" w:ascii="Times New Roman" w:hAnsi="Times New Roman"/>
          <w:sz w:val="20"/>
          <w:szCs w:val="20"/>
        </w:rPr>
        <w:t xml:space="preserve">PDSCH transmission </w:t>
      </w:r>
      <w:r>
        <w:rPr>
          <w:rFonts w:ascii="Times New Roman" w:hAnsi="Times New Roman"/>
          <w:sz w:val="20"/>
          <w:szCs w:val="20"/>
        </w:rPr>
        <w:t>is</w:t>
      </w:r>
      <w:r>
        <w:rPr>
          <w:rFonts w:hint="eastAsia" w:ascii="Times New Roman" w:hAnsi="Times New Roman"/>
          <w:sz w:val="20"/>
          <w:szCs w:val="20"/>
        </w:rPr>
        <w:t xml:space="preserve"> single TRP</w:t>
      </w:r>
      <w:r>
        <w:rPr>
          <w:rFonts w:ascii="Times New Roman" w:hAnsi="Times New Roman"/>
          <w:sz w:val="20"/>
          <w:szCs w:val="20"/>
        </w:rPr>
        <w:t xml:space="preserve"> scheduling rather than MTRP, it is better to use the first one of default TCI states for simplicity.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5</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the slot offset between PDCCH and PDSCH is smaller than the threshold, and</w:t>
      </w:r>
      <w:r>
        <w:rPr>
          <w:rFonts w:ascii="Times New Roman" w:hAnsi="Times New Roman"/>
          <w:i/>
          <w:sz w:val="20"/>
          <w:szCs w:val="20"/>
        </w:rPr>
        <w:t xml:space="preserve"> at least one TCI codepoint indicates two TCI states</w:t>
      </w:r>
    </w:p>
    <w:p>
      <w:pPr>
        <w:pStyle w:val="99"/>
        <w:numPr>
          <w:ilvl w:val="0"/>
          <w:numId w:val="13"/>
        </w:numPr>
        <w:snapToGrid w:val="0"/>
        <w:spacing w:before="180" w:beforeLines="50" w:after="180" w:afterLines="50" w:line="240" w:lineRule="auto"/>
        <w:ind w:firstLineChars="0"/>
        <w:jc w:val="both"/>
        <w:rPr>
          <w:rFonts w:ascii="Times New Roman" w:hAnsi="Times New Roman"/>
          <w:i/>
          <w:sz w:val="20"/>
          <w:szCs w:val="20"/>
        </w:rPr>
      </w:pPr>
      <w:r>
        <w:rPr>
          <w:rFonts w:ascii="Times New Roman" w:hAnsi="Times New Roman"/>
          <w:i/>
          <w:sz w:val="20"/>
          <w:szCs w:val="20"/>
        </w:rPr>
        <w:t xml:space="preserve">If SFN based MTRP transmission is used for PDSCH, each DMRS port of PDSCH should be associated with </w:t>
      </w:r>
      <w:r>
        <w:rPr>
          <w:rFonts w:hint="eastAsia" w:ascii="Times New Roman" w:hAnsi="Times New Roman"/>
          <w:i/>
          <w:sz w:val="20"/>
          <w:szCs w:val="20"/>
        </w:rPr>
        <w:t>the two TCI states in the lowest codepoint</w:t>
      </w:r>
      <w:r>
        <w:rPr>
          <w:rFonts w:ascii="Times New Roman" w:hAnsi="Times New Roman"/>
          <w:i/>
          <w:sz w:val="20"/>
          <w:szCs w:val="20"/>
        </w:rPr>
        <w:t xml:space="preserve"> among the TCI codepoints containing two different TCI states.</w:t>
      </w:r>
    </w:p>
    <w:p>
      <w:pPr>
        <w:pStyle w:val="99"/>
        <w:numPr>
          <w:ilvl w:val="0"/>
          <w:numId w:val="13"/>
        </w:numPr>
        <w:snapToGrid w:val="0"/>
        <w:spacing w:before="180" w:beforeLines="50" w:after="180" w:afterLines="50" w:line="240" w:lineRule="auto"/>
        <w:ind w:firstLineChars="0"/>
        <w:jc w:val="both"/>
        <w:rPr>
          <w:rFonts w:ascii="Times New Roman" w:hAnsi="Times New Roman"/>
          <w:i/>
          <w:sz w:val="20"/>
          <w:szCs w:val="20"/>
        </w:rPr>
      </w:pPr>
      <w:r>
        <w:rPr>
          <w:rFonts w:ascii="Times New Roman" w:hAnsi="Times New Roman"/>
          <w:i/>
          <w:sz w:val="20"/>
          <w:szCs w:val="20"/>
        </w:rPr>
        <w:t xml:space="preserve">If there is dynamic switching between single TRP and SFN based MTRP, and single TRP transmission is actually used for PDSCH, each DMRS port of PDSCH should be associated with the first one of </w:t>
      </w:r>
      <w:r>
        <w:rPr>
          <w:rFonts w:hint="eastAsia" w:ascii="Times New Roman" w:hAnsi="Times New Roman"/>
          <w:i/>
          <w:sz w:val="20"/>
          <w:szCs w:val="20"/>
        </w:rPr>
        <w:t>the two TCI states in the lowest codepoint</w:t>
      </w:r>
      <w:r>
        <w:rPr>
          <w:rFonts w:ascii="Times New Roman" w:hAnsi="Times New Roman"/>
          <w:i/>
          <w:sz w:val="20"/>
          <w:szCs w:val="20"/>
        </w:rPr>
        <w:t xml:space="preserve"> among the TCI codepoints containing two different TCI states.</w:t>
      </w:r>
    </w:p>
    <w:p>
      <w:pPr>
        <w:pStyle w:val="99"/>
        <w:numPr>
          <w:ilvl w:val="0"/>
          <w:numId w:val="12"/>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Case 2: no TCI codepoint containing two TCI states or UE is not able to support two default beams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Rel-16, if there is no TCI codepoint containing two TCI states or UE is not able to support two default beams, the PDSCH should be single TRP scheduling, and the PDSCH QCL assumption is from the TCI state of </w:t>
      </w:r>
      <w:r>
        <w:rPr>
          <w:rFonts w:hint="eastAsia" w:ascii="Times New Roman" w:hAnsi="Times New Roman"/>
          <w:sz w:val="20"/>
          <w:szCs w:val="20"/>
        </w:rPr>
        <w:t>the CORESET with the lowest index in the latest slot</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H</w:t>
      </w:r>
      <w:r>
        <w:rPr>
          <w:rFonts w:ascii="Times New Roman" w:hAnsi="Times New Roman"/>
          <w:sz w:val="20"/>
          <w:szCs w:val="20"/>
        </w:rPr>
        <w:t xml:space="preserve">owever, </w:t>
      </w:r>
      <w:r>
        <w:rPr>
          <w:rFonts w:hint="eastAsia" w:ascii="Times New Roman" w:hAnsi="Times New Roman"/>
          <w:sz w:val="20"/>
          <w:szCs w:val="20"/>
        </w:rPr>
        <w:t>if two TCI states are activated for this CORESET</w:t>
      </w:r>
      <w:r>
        <w:rPr>
          <w:rFonts w:ascii="Times New Roman" w:hAnsi="Times New Roman"/>
          <w:sz w:val="20"/>
          <w:szCs w:val="20"/>
        </w:rPr>
        <w:t xml:space="preserve"> in Rel-17 SFN based PDCCH</w:t>
      </w:r>
      <w:r>
        <w:rPr>
          <w:rFonts w:hint="eastAsia" w:ascii="Times New Roman" w:hAnsi="Times New Roman"/>
          <w:sz w:val="20"/>
          <w:szCs w:val="20"/>
        </w:rPr>
        <w:t xml:space="preserve">, </w:t>
      </w:r>
      <w:r>
        <w:rPr>
          <w:rFonts w:ascii="Times New Roman" w:hAnsi="Times New Roman"/>
          <w:sz w:val="20"/>
          <w:szCs w:val="20"/>
        </w:rPr>
        <w:t>the number of TCI states for the CORESET will be larger than for PDSCH. Similarly, we think</w:t>
      </w:r>
      <w:r>
        <w:rPr>
          <w:rFonts w:hint="eastAsia" w:ascii="Times New Roman" w:hAnsi="Times New Roman"/>
          <w:sz w:val="20"/>
          <w:szCs w:val="20"/>
        </w:rPr>
        <w:t xml:space="preserve"> the first one of the two TCI states of the CORESET with the </w:t>
      </w:r>
      <w:r>
        <w:rPr>
          <w:rFonts w:ascii="Times New Roman" w:hAnsi="Times New Roman"/>
          <w:sz w:val="20"/>
          <w:szCs w:val="20"/>
        </w:rPr>
        <w:t>lowest</w:t>
      </w:r>
      <w:r>
        <w:rPr>
          <w:rFonts w:hint="eastAsia" w:ascii="Times New Roman" w:hAnsi="Times New Roman"/>
          <w:sz w:val="20"/>
          <w:szCs w:val="20"/>
        </w:rPr>
        <w:t xml:space="preserve"> index in the latest slot should be used as the default TCI state. </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6</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the slot offset between PDCCH and PDSCH is smaller than the threshold</w:t>
      </w:r>
      <w:r>
        <w:rPr>
          <w:rFonts w:ascii="Times New Roman" w:hAnsi="Times New Roman"/>
          <w:i/>
          <w:sz w:val="20"/>
          <w:szCs w:val="20"/>
        </w:rPr>
        <w:t xml:space="preserve">, if there is no TCI codepoint containing two TCI states or UE is not able to support two default beams of PDSCH, each DMRS port of PDSCH should be associated with </w:t>
      </w:r>
      <w:r>
        <w:rPr>
          <w:rFonts w:hint="eastAsia" w:ascii="Times New Roman" w:hAnsi="Times New Roman"/>
          <w:i/>
          <w:sz w:val="20"/>
          <w:szCs w:val="20"/>
        </w:rPr>
        <w:t>the first one of the two TCI states of the CORESET with the lowest index in the latest slot</w:t>
      </w:r>
      <w:r>
        <w:rPr>
          <w:rFonts w:ascii="Times New Roman" w:hAnsi="Times New Roman"/>
          <w:i/>
          <w:sz w:val="20"/>
          <w:szCs w:val="20"/>
        </w:rPr>
        <w:t>.</w:t>
      </w:r>
    </w:p>
    <w:p>
      <w:pPr>
        <w:pStyle w:val="99"/>
        <w:numPr>
          <w:ilvl w:val="0"/>
          <w:numId w:val="12"/>
        </w:numPr>
        <w:snapToGrid w:val="0"/>
        <w:spacing w:before="180" w:beforeLines="50" w:after="180" w:afterLines="50" w:line="240" w:lineRule="auto"/>
        <w:ind w:firstLineChars="0"/>
        <w:jc w:val="both"/>
        <w:rPr>
          <w:rFonts w:ascii="Times New Roman" w:hAnsi="Times New Roman"/>
          <w:sz w:val="20"/>
          <w:szCs w:val="20"/>
        </w:rPr>
      </w:pPr>
      <w:r>
        <w:rPr>
          <w:rFonts w:ascii="Times New Roman" w:hAnsi="Times New Roman"/>
          <w:sz w:val="20"/>
          <w:szCs w:val="20"/>
        </w:rPr>
        <w:t xml:space="preserve">Case 3: </w:t>
      </w:r>
      <w:r>
        <w:rPr>
          <w:rFonts w:ascii="Times New Roman" w:hAnsi="Times New Roman"/>
          <w:color w:val="000000"/>
          <w:sz w:val="20"/>
          <w:szCs w:val="20"/>
        </w:rPr>
        <w:t>DCI format not having the TCI field present</w:t>
      </w:r>
    </w:p>
    <w:p>
      <w:pPr>
        <w:snapToGrid w:val="0"/>
        <w:jc w:val="both"/>
        <w:rPr>
          <w:rFonts w:ascii="Times New Roman" w:hAnsi="Times New Roman"/>
          <w:color w:val="000000"/>
          <w:sz w:val="20"/>
          <w:szCs w:val="20"/>
        </w:rPr>
      </w:pPr>
      <w:r>
        <w:rPr>
          <w:rFonts w:ascii="Times New Roman" w:hAnsi="Times New Roman"/>
          <w:color w:val="000000"/>
          <w:sz w:val="20"/>
          <w:szCs w:val="20"/>
        </w:rPr>
        <w:t>In Rel-16, if the PDSCH is scheduled by a DCI format 1_1 or 1_2 which has no TCI field present,</w:t>
      </w:r>
      <w:r>
        <w:rPr>
          <w:rFonts w:hint="eastAsia" w:ascii="Times New Roman" w:hAnsi="Times New Roman"/>
          <w:color w:val="000000"/>
          <w:sz w:val="20"/>
          <w:szCs w:val="20"/>
        </w:rPr>
        <w:t xml:space="preserve"> </w:t>
      </w:r>
      <w:r>
        <w:rPr>
          <w:rFonts w:ascii="Times New Roman" w:hAnsi="Times New Roman"/>
          <w:color w:val="000000"/>
          <w:sz w:val="20"/>
          <w:szCs w:val="20"/>
        </w:rPr>
        <w:t>or</w:t>
      </w:r>
      <w:r>
        <w:rPr>
          <w:rFonts w:hint="eastAsia" w:ascii="Times New Roman" w:hAnsi="Times New Roman"/>
          <w:color w:val="000000"/>
          <w:sz w:val="20"/>
          <w:szCs w:val="20"/>
        </w:rPr>
        <w:t xml:space="preserve"> </w:t>
      </w:r>
      <w:r>
        <w:rPr>
          <w:rFonts w:ascii="Times New Roman" w:hAnsi="Times New Roman"/>
          <w:color w:val="000000"/>
          <w:sz w:val="20"/>
          <w:szCs w:val="20"/>
        </w:rPr>
        <w:t>scheduled by a D</w:t>
      </w:r>
      <w:r>
        <w:rPr>
          <w:rFonts w:hint="eastAsia" w:ascii="Times New Roman" w:hAnsi="Times New Roman"/>
          <w:color w:val="000000"/>
          <w:sz w:val="20"/>
          <w:szCs w:val="20"/>
        </w:rPr>
        <w:t xml:space="preserve">CI format 1_0, </w:t>
      </w:r>
      <w:r>
        <w:rPr>
          <w:rFonts w:ascii="Times New Roman" w:hAnsi="Times New Roman"/>
          <w:color w:val="000000"/>
          <w:sz w:val="20"/>
          <w:szCs w:val="20"/>
        </w:rPr>
        <w:t xml:space="preserve">the </w:t>
      </w:r>
      <w:r>
        <w:rPr>
          <w:rFonts w:ascii="Times New Roman" w:hAnsi="Times New Roman"/>
          <w:sz w:val="20"/>
          <w:szCs w:val="20"/>
        </w:rPr>
        <w:t>PDSCH should be single TRP scheduling</w:t>
      </w:r>
      <w:r>
        <w:rPr>
          <w:rFonts w:ascii="Times New Roman" w:hAnsi="Times New Roman"/>
          <w:color w:val="000000"/>
          <w:sz w:val="20"/>
          <w:szCs w:val="20"/>
        </w:rPr>
        <w:t xml:space="preserve">. For determining PDSCH antenna port quasi co-location, the UE assumes that the TCI state or the QCL assumption for the PDSCH is identical to the TCI state or QCL assumption of the CORESET used for the scheduling PDCCH transmission. </w:t>
      </w:r>
    </w:p>
    <w:p>
      <w:pPr>
        <w:snapToGrid w:val="0"/>
        <w:spacing w:before="200" w:line="240" w:lineRule="auto"/>
        <w:jc w:val="both"/>
        <w:rPr>
          <w:rFonts w:ascii="Times New Roman" w:hAnsi="Times New Roman"/>
          <w:color w:val="000000"/>
          <w:sz w:val="20"/>
          <w:szCs w:val="20"/>
        </w:rPr>
      </w:pPr>
      <w:r>
        <w:rPr>
          <w:rFonts w:hint="eastAsia" w:ascii="Times New Roman" w:hAnsi="Times New Roman"/>
          <w:color w:val="000000"/>
          <w:sz w:val="20"/>
          <w:szCs w:val="20"/>
        </w:rPr>
        <w:t>I</w:t>
      </w:r>
      <w:r>
        <w:rPr>
          <w:rFonts w:ascii="Times New Roman" w:hAnsi="Times New Roman"/>
          <w:color w:val="000000"/>
          <w:sz w:val="20"/>
          <w:szCs w:val="20"/>
        </w:rPr>
        <w:t xml:space="preserve">n Rel-17, if two TCI states are activated for the scheduling PDCCH using SFN, it is also natural to use the first one of two activated TCI states of the scheduling PDCCH. </w:t>
      </w:r>
    </w:p>
    <w:p>
      <w:pPr>
        <w:snapToGrid w:val="0"/>
        <w:spacing w:before="200" w:line="240" w:lineRule="auto"/>
        <w:jc w:val="both"/>
        <w:rPr>
          <w:rFonts w:ascii="Times New Roman" w:hAnsi="Times New Roman"/>
          <w:sz w:val="20"/>
          <w:szCs w:val="20"/>
        </w:rPr>
      </w:pPr>
      <w:bookmarkStart w:id="18" w:name="OLE_LINK5"/>
      <w:r>
        <w:rPr>
          <w:rFonts w:hint="eastAsia" w:ascii="Times New Roman" w:hAnsi="Times New Roman"/>
          <w:b/>
          <w:bCs/>
          <w:i/>
          <w:iCs/>
          <w:sz w:val="20"/>
          <w:szCs w:val="20"/>
        </w:rPr>
        <w:t>Proposal 7:</w:t>
      </w:r>
      <w:bookmarkEnd w:id="18"/>
      <w:r>
        <w:rPr>
          <w:rFonts w:hint="eastAsia" w:ascii="Times New Roman" w:hAnsi="Times New Roman"/>
          <w:b/>
          <w:bCs/>
          <w:i/>
          <w:iCs/>
          <w:sz w:val="20"/>
          <w:szCs w:val="20"/>
        </w:rPr>
        <w:t xml:space="preserve"> </w:t>
      </w:r>
      <w:r>
        <w:rPr>
          <w:rFonts w:ascii="Times New Roman" w:hAnsi="Times New Roman"/>
          <w:i/>
          <w:iCs/>
          <w:sz w:val="20"/>
          <w:szCs w:val="20"/>
        </w:rPr>
        <w:t xml:space="preserve">If PDSCH is scheduled by a PDCCH without TCI field present, </w:t>
      </w:r>
      <w:r>
        <w:rPr>
          <w:rFonts w:ascii="Times New Roman" w:hAnsi="Times New Roman"/>
          <w:i/>
          <w:color w:val="000000"/>
          <w:sz w:val="20"/>
          <w:szCs w:val="20"/>
        </w:rPr>
        <w:t>the UE assumes that the TCI state of the PDSCH is identical to the first one of two activated TCI states of the PDCCH.</w:t>
      </w:r>
    </w:p>
    <w:p>
      <w:pPr>
        <w:pStyle w:val="4"/>
        <w:numPr>
          <w:ilvl w:val="0"/>
          <w:numId w:val="0"/>
        </w:numPr>
        <w:snapToGrid w:val="0"/>
        <w:spacing w:before="180" w:beforeLines="50" w:after="180" w:afterLines="50" w:line="240" w:lineRule="auto"/>
        <w:jc w:val="both"/>
        <w:rPr>
          <w:rFonts w:ascii="Times New Roman" w:hAnsi="Times New Roman"/>
          <w:sz w:val="24"/>
          <w:szCs w:val="24"/>
          <w:lang w:val="en-US"/>
        </w:rPr>
      </w:pPr>
      <w:r>
        <w:rPr>
          <w:rFonts w:ascii="Times New Roman" w:hAnsi="Times New Roman"/>
          <w:sz w:val="24"/>
          <w:szCs w:val="24"/>
          <w:lang w:val="en-US"/>
        </w:rPr>
        <w:t>2.2.2 For AP CSI-RS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Rel-16</w:t>
      </w:r>
      <w:r>
        <w:rPr>
          <w:rFonts w:hint="eastAsia" w:ascii="Times New Roman" w:hAnsi="Times New Roman"/>
          <w:sz w:val="20"/>
          <w:szCs w:val="20"/>
        </w:rPr>
        <w:t xml:space="preserve"> </w:t>
      </w:r>
      <w:r>
        <w:rPr>
          <w:rFonts w:ascii="Times New Roman" w:hAnsi="Times New Roman"/>
          <w:sz w:val="20"/>
          <w:szCs w:val="20"/>
        </w:rPr>
        <w:t>for AP CSI-RS transmission, when the slot offset between PDCCH and AP CSI-RS is smaller than the threshold, if UE is not able to support Rel-16 default beam feature, i.e.</w:t>
      </w:r>
      <w:r>
        <w:rPr>
          <w:rFonts w:hint="eastAsia" w:ascii="Times New Roman" w:hAnsi="Times New Roman"/>
          <w:sz w:val="20"/>
          <w:szCs w:val="20"/>
        </w:rPr>
        <w:t xml:space="preserve"> </w:t>
      </w:r>
      <w:r>
        <w:rPr>
          <w:rFonts w:ascii="Times New Roman" w:hAnsi="Times New Roman"/>
          <w:sz w:val="20"/>
          <w:szCs w:val="20"/>
        </w:rPr>
        <w:t xml:space="preserve">without RRC parameter </w:t>
      </w:r>
      <w:r>
        <w:rPr>
          <w:rFonts w:ascii="Times New Roman" w:hAnsi="Times New Roman"/>
          <w:i/>
          <w:iCs/>
          <w:sz w:val="20"/>
          <w:szCs w:val="20"/>
        </w:rPr>
        <w:t>enableDefaultTCIStatePerCoresetPoolIndex</w:t>
      </w:r>
      <w:r>
        <w:rPr>
          <w:rFonts w:ascii="Times New Roman" w:hAnsi="Times New Roman"/>
          <w:sz w:val="20"/>
          <w:szCs w:val="20"/>
        </w:rPr>
        <w:t xml:space="preserve"> or </w:t>
      </w:r>
      <w:r>
        <w:rPr>
          <w:rFonts w:ascii="Times New Roman" w:hAnsi="Times New Roman"/>
          <w:i/>
          <w:iCs/>
          <w:sz w:val="20"/>
          <w:szCs w:val="20"/>
        </w:rPr>
        <w:t>enableTwoDefaultTCIStates</w:t>
      </w:r>
      <w:r>
        <w:rPr>
          <w:rFonts w:ascii="Times New Roman" w:hAnsi="Times New Roman"/>
          <w:iCs/>
          <w:sz w:val="20"/>
          <w:szCs w:val="20"/>
        </w:rPr>
        <w:t xml:space="preserve">, the default TCI principle is the same as Rel-15, that is </w:t>
      </w:r>
    </w:p>
    <w:p>
      <w:pPr>
        <w:numPr>
          <w:ilvl w:val="0"/>
          <w:numId w:val="1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there is no other </w:t>
      </w:r>
      <w:r>
        <w:rPr>
          <w:rFonts w:ascii="Times New Roman" w:hAnsi="Times New Roman"/>
          <w:sz w:val="20"/>
          <w:szCs w:val="20"/>
        </w:rPr>
        <w:t>signal</w:t>
      </w:r>
      <w:r>
        <w:rPr>
          <w:rFonts w:hint="eastAsia" w:ascii="Times New Roman" w:hAnsi="Times New Roman"/>
          <w:sz w:val="20"/>
          <w:szCs w:val="20"/>
        </w:rPr>
        <w:t xml:space="preserve"> on the symbol with</w:t>
      </w:r>
      <w:r>
        <w:rPr>
          <w:rFonts w:ascii="Times New Roman" w:hAnsi="Times New Roman"/>
          <w:sz w:val="20"/>
          <w:szCs w:val="20"/>
        </w:rPr>
        <w:t xml:space="preserve"> the</w:t>
      </w:r>
      <w:r>
        <w:rPr>
          <w:rFonts w:hint="eastAsia" w:ascii="Times New Roman" w:hAnsi="Times New Roman"/>
          <w:sz w:val="20"/>
          <w:szCs w:val="20"/>
        </w:rPr>
        <w:t xml:space="preserve"> AP CSI-RS, the default TCI </w:t>
      </w:r>
      <w:r>
        <w:rPr>
          <w:rFonts w:ascii="Times New Roman" w:hAnsi="Times New Roman"/>
          <w:sz w:val="20"/>
          <w:szCs w:val="20"/>
        </w:rPr>
        <w:t xml:space="preserve">of the AP CSI-RS </w:t>
      </w:r>
      <w:r>
        <w:rPr>
          <w:rFonts w:hint="eastAsia" w:ascii="Times New Roman" w:hAnsi="Times New Roman"/>
          <w:sz w:val="20"/>
          <w:szCs w:val="20"/>
        </w:rPr>
        <w:t>is the</w:t>
      </w:r>
      <w:r>
        <w:rPr>
          <w:sz w:val="20"/>
          <w:szCs w:val="20"/>
        </w:rPr>
        <w:t xml:space="preserve"> </w:t>
      </w:r>
      <w:r>
        <w:rPr>
          <w:rFonts w:hint="eastAsia" w:ascii="Times New Roman" w:hAnsi="Times New Roman"/>
          <w:sz w:val="20"/>
          <w:szCs w:val="20"/>
        </w:rPr>
        <w:t>TCI state</w:t>
      </w:r>
      <w:r>
        <w:rPr>
          <w:rFonts w:ascii="Times New Roman" w:hAnsi="Times New Roman"/>
          <w:sz w:val="20"/>
          <w:szCs w:val="20"/>
        </w:rPr>
        <w:t xml:space="preserve"> used for the CORESET with the lowest index in the latest slot</w:t>
      </w:r>
      <w:r>
        <w:rPr>
          <w:rFonts w:hint="eastAsia" w:ascii="Times New Roman" w:hAnsi="Times New Roman"/>
          <w:sz w:val="20"/>
          <w:szCs w:val="20"/>
        </w:rPr>
        <w:t xml:space="preserve">. </w:t>
      </w:r>
    </w:p>
    <w:p>
      <w:pPr>
        <w:numPr>
          <w:ilvl w:val="0"/>
          <w:numId w:val="1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If there is other signal on the same symbol with the </w:t>
      </w:r>
      <w:r>
        <w:rPr>
          <w:rFonts w:hint="eastAsia" w:ascii="Times New Roman" w:hAnsi="Times New Roman"/>
          <w:sz w:val="20"/>
          <w:szCs w:val="20"/>
        </w:rPr>
        <w:t xml:space="preserve">AP </w:t>
      </w:r>
      <w:r>
        <w:rPr>
          <w:rFonts w:ascii="Times New Roman" w:hAnsi="Times New Roman"/>
          <w:sz w:val="20"/>
          <w:szCs w:val="20"/>
        </w:rPr>
        <w:t xml:space="preserve">CSI-RS, </w:t>
      </w:r>
      <w:r>
        <w:rPr>
          <w:rFonts w:hint="eastAsia" w:ascii="Times New Roman" w:hAnsi="Times New Roman"/>
          <w:sz w:val="20"/>
          <w:szCs w:val="20"/>
        </w:rPr>
        <w:t xml:space="preserve">the default TCI </w:t>
      </w:r>
      <w:r>
        <w:rPr>
          <w:rFonts w:ascii="Times New Roman" w:hAnsi="Times New Roman"/>
          <w:sz w:val="20"/>
          <w:szCs w:val="20"/>
        </w:rPr>
        <w:t>of the AP CSI-RS follows the other signal.</w:t>
      </w:r>
      <w:r>
        <w:rPr>
          <w:rFonts w:hint="eastAsia" w:ascii="Times New Roman" w:hAnsi="Times New Roman"/>
          <w:sz w:val="20"/>
          <w:szCs w:val="20"/>
        </w:rPr>
        <w:t xml:space="preserve"> </w:t>
      </w:r>
    </w:p>
    <w:p>
      <w:pPr>
        <w:tabs>
          <w:tab w:val="left"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Rel-17, c</w:t>
      </w:r>
      <w:r>
        <w:rPr>
          <w:rFonts w:hint="eastAsia" w:ascii="Times New Roman" w:hAnsi="Times New Roman"/>
          <w:sz w:val="20"/>
          <w:szCs w:val="20"/>
        </w:rPr>
        <w:t xml:space="preserve">onsidering the SFN based PDCCH, two TCI states </w:t>
      </w:r>
      <w:r>
        <w:rPr>
          <w:rFonts w:ascii="Times New Roman" w:hAnsi="Times New Roman"/>
          <w:sz w:val="20"/>
          <w:szCs w:val="20"/>
        </w:rPr>
        <w:t>may be</w:t>
      </w:r>
      <w:r>
        <w:rPr>
          <w:rFonts w:hint="eastAsia" w:ascii="Times New Roman" w:hAnsi="Times New Roman"/>
          <w:sz w:val="20"/>
          <w:szCs w:val="20"/>
        </w:rPr>
        <w:t xml:space="preserve"> activated by MAC CE</w:t>
      </w:r>
      <w:r>
        <w:rPr>
          <w:rFonts w:ascii="Times New Roman" w:hAnsi="Times New Roman"/>
          <w:sz w:val="20"/>
          <w:szCs w:val="20"/>
        </w:rPr>
        <w:t xml:space="preserve"> for the CORESET with lowest index</w:t>
      </w:r>
      <w:r>
        <w:rPr>
          <w:rFonts w:hint="eastAsia" w:ascii="Times New Roman" w:hAnsi="Times New Roman"/>
          <w:sz w:val="20"/>
          <w:szCs w:val="20"/>
        </w:rPr>
        <w:t xml:space="preserve">, so </w:t>
      </w:r>
      <w:r>
        <w:rPr>
          <w:rFonts w:ascii="Times New Roman" w:hAnsi="Times New Roman"/>
          <w:sz w:val="20"/>
          <w:szCs w:val="20"/>
        </w:rPr>
        <w:t xml:space="preserve">it should be discussed </w:t>
      </w:r>
      <w:r>
        <w:rPr>
          <w:rFonts w:hint="eastAsia" w:ascii="Times New Roman" w:hAnsi="Times New Roman"/>
          <w:sz w:val="20"/>
          <w:szCs w:val="20"/>
        </w:rPr>
        <w:t>which one of the</w:t>
      </w:r>
      <w:r>
        <w:rPr>
          <w:rFonts w:ascii="Times New Roman" w:hAnsi="Times New Roman"/>
          <w:sz w:val="20"/>
          <w:szCs w:val="20"/>
        </w:rPr>
        <w:t>se</w:t>
      </w:r>
      <w:r>
        <w:rPr>
          <w:rFonts w:hint="eastAsia" w:ascii="Times New Roman" w:hAnsi="Times New Roman"/>
          <w:sz w:val="20"/>
          <w:szCs w:val="20"/>
        </w:rPr>
        <w:t xml:space="preserve"> two TCI state</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being used</w:t>
      </w:r>
      <w:r>
        <w:rPr>
          <w:rFonts w:hint="eastAsia" w:ascii="Times New Roman" w:hAnsi="Times New Roman"/>
          <w:sz w:val="20"/>
          <w:szCs w:val="20"/>
        </w:rPr>
        <w:t xml:space="preserve"> as the default TCI state of AP CSI-RS. </w:t>
      </w:r>
      <w:r>
        <w:rPr>
          <w:rFonts w:ascii="Times New Roman" w:hAnsi="Times New Roman"/>
          <w:sz w:val="20"/>
          <w:szCs w:val="20"/>
        </w:rPr>
        <w:t>Naturally</w:t>
      </w:r>
      <w:r>
        <w:rPr>
          <w:rFonts w:hint="eastAsia" w:ascii="Times New Roman" w:hAnsi="Times New Roman"/>
          <w:sz w:val="20"/>
          <w:szCs w:val="20"/>
        </w:rPr>
        <w:t xml:space="preserve">, the first one of the </w:t>
      </w:r>
      <w:r>
        <w:rPr>
          <w:rFonts w:ascii="Times New Roman" w:hAnsi="Times New Roman"/>
          <w:sz w:val="20"/>
          <w:szCs w:val="20"/>
        </w:rPr>
        <w:t xml:space="preserve">two </w:t>
      </w:r>
      <w:r>
        <w:rPr>
          <w:rFonts w:hint="eastAsia" w:ascii="Times New Roman" w:hAnsi="Times New Roman"/>
          <w:sz w:val="20"/>
          <w:szCs w:val="20"/>
        </w:rPr>
        <w:t>TCI states should be used as the default TCI states</w:t>
      </w:r>
      <w:r>
        <w:rPr>
          <w:rFonts w:ascii="Times New Roman" w:hAnsi="Times New Roman"/>
          <w:sz w:val="20"/>
          <w:szCs w:val="20"/>
        </w:rPr>
        <w:t xml:space="preserve"> when there is no other signal </w:t>
      </w:r>
      <w:r>
        <w:rPr>
          <w:rFonts w:hint="eastAsia" w:ascii="Times New Roman" w:hAnsi="Times New Roman"/>
          <w:sz w:val="20"/>
          <w:szCs w:val="20"/>
        </w:rPr>
        <w:t xml:space="preserve">on </w:t>
      </w:r>
      <w:r>
        <w:rPr>
          <w:rFonts w:ascii="Times New Roman" w:hAnsi="Times New Roman"/>
          <w:sz w:val="20"/>
          <w:szCs w:val="20"/>
        </w:rPr>
        <w:t>the same symbol with the AP CSI-RS.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When there are other signals, e.g. SFN based PDSCH, a similar issue appears, and it is natural to use the first TCI state of the other signal as well.</w:t>
      </w:r>
      <w:bookmarkStart w:id="19" w:name="OLE_LINK18"/>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w:t>
      </w:r>
      <w:r>
        <w:rPr>
          <w:rFonts w:ascii="Times New Roman" w:hAnsi="Times New Roman"/>
          <w:iCs/>
          <w:sz w:val="20"/>
          <w:szCs w:val="20"/>
        </w:rPr>
        <w:t xml:space="preserve">f UE is able to support Rel-16 default beam feature, the Rel-16 principle can be reused where the first one of the two TCI states in the lowest TCI codepoint or the first TCI state of other signal is used as AP CSI-RS default beam. There seems no need to be enhanced. </w:t>
      </w:r>
    </w:p>
    <w:p>
      <w:pPr>
        <w:snapToGrid w:val="0"/>
        <w:spacing w:before="180" w:beforeLines="50" w:after="180" w:afterLines="50" w:line="240" w:lineRule="auto"/>
        <w:jc w:val="both"/>
        <w:rPr>
          <w:rFonts w:ascii="Times New Roman" w:hAnsi="Times New Roman"/>
          <w:b/>
          <w:bCs/>
          <w:i/>
          <w:iCs/>
          <w:sz w:val="20"/>
          <w:szCs w:val="20"/>
        </w:rPr>
      </w:pPr>
      <w:bookmarkStart w:id="20" w:name="OLE_LINK17"/>
      <w:r>
        <w:rPr>
          <w:rFonts w:hint="eastAsia" w:ascii="Times New Roman" w:hAnsi="Times New Roman"/>
          <w:b/>
          <w:bCs/>
          <w:i/>
          <w:iCs/>
          <w:sz w:val="20"/>
          <w:szCs w:val="20"/>
        </w:rPr>
        <w:t>Proposal 8:</w:t>
      </w:r>
      <w:r>
        <w:rPr>
          <w:rFonts w:ascii="Times New Roman" w:hAnsi="Times New Roman"/>
          <w:b/>
          <w:bCs/>
          <w:i/>
          <w:iCs/>
          <w:sz w:val="20"/>
          <w:szCs w:val="20"/>
        </w:rPr>
        <w:t xml:space="preserve"> </w:t>
      </w:r>
    </w:p>
    <w:p>
      <w:pPr>
        <w:pStyle w:val="99"/>
        <w:numPr>
          <w:ilvl w:val="0"/>
          <w:numId w:val="11"/>
        </w:numPr>
        <w:snapToGrid w:val="0"/>
        <w:spacing w:before="180" w:beforeLines="50" w:after="180" w:afterLines="50" w:line="240" w:lineRule="auto"/>
        <w:ind w:firstLineChars="0"/>
        <w:jc w:val="both"/>
        <w:rPr>
          <w:rFonts w:ascii="Times New Roman" w:hAnsi="Times New Roman"/>
          <w:i/>
          <w:iCs/>
          <w:sz w:val="20"/>
          <w:szCs w:val="20"/>
        </w:rPr>
      </w:pPr>
      <w:r>
        <w:rPr>
          <w:rFonts w:ascii="Times New Roman" w:hAnsi="Times New Roman"/>
          <w:i/>
          <w:sz w:val="20"/>
          <w:szCs w:val="20"/>
        </w:rPr>
        <w:t>When the slot offset between PDCCH and aperiodic CSI-RS is smaller than the threshold,</w:t>
      </w:r>
      <w:r>
        <w:rPr>
          <w:rFonts w:ascii="Times New Roman" w:hAnsi="Times New Roman"/>
          <w:iCs/>
          <w:sz w:val="20"/>
          <w:szCs w:val="20"/>
        </w:rPr>
        <w:t xml:space="preserve"> </w:t>
      </w:r>
      <w:r>
        <w:rPr>
          <w:rFonts w:ascii="Times New Roman" w:hAnsi="Times New Roman"/>
          <w:i/>
          <w:sz w:val="20"/>
          <w:szCs w:val="20"/>
        </w:rPr>
        <w:t xml:space="preserve">and </w:t>
      </w:r>
    </w:p>
    <w:p>
      <w:pPr>
        <w:pStyle w:val="99"/>
        <w:numPr>
          <w:ilvl w:val="1"/>
          <w:numId w:val="11"/>
        </w:numPr>
        <w:snapToGrid w:val="0"/>
        <w:spacing w:before="180" w:beforeLines="50" w:after="180" w:afterLines="50" w:line="240" w:lineRule="auto"/>
        <w:ind w:firstLineChars="0"/>
        <w:jc w:val="both"/>
        <w:rPr>
          <w:rFonts w:ascii="Times New Roman" w:hAnsi="Times New Roman"/>
          <w:iCs/>
          <w:sz w:val="20"/>
          <w:szCs w:val="20"/>
        </w:rPr>
      </w:pPr>
      <w:r>
        <w:rPr>
          <w:rFonts w:ascii="Times New Roman" w:hAnsi="Times New Roman"/>
          <w:i/>
          <w:sz w:val="20"/>
          <w:szCs w:val="20"/>
        </w:rPr>
        <w:t xml:space="preserve">If UE is not able to support Rel-16 default beam feature, </w:t>
      </w:r>
    </w:p>
    <w:p>
      <w:pPr>
        <w:pStyle w:val="99"/>
        <w:numPr>
          <w:ilvl w:val="0"/>
          <w:numId w:val="15"/>
        </w:numPr>
        <w:snapToGrid w:val="0"/>
        <w:spacing w:before="180" w:beforeLines="50" w:after="180" w:afterLines="50" w:line="240" w:lineRule="auto"/>
        <w:ind w:firstLineChars="0"/>
        <w:jc w:val="both"/>
        <w:rPr>
          <w:rFonts w:ascii="Times New Roman" w:hAnsi="Times New Roman"/>
          <w:i/>
          <w:iCs/>
          <w:sz w:val="20"/>
          <w:szCs w:val="20"/>
        </w:rPr>
      </w:pPr>
      <w:r>
        <w:rPr>
          <w:rFonts w:hint="eastAsia" w:ascii="Times New Roman" w:hAnsi="Times New Roman"/>
          <w:i/>
          <w:sz w:val="20"/>
          <w:szCs w:val="20"/>
        </w:rPr>
        <w:t xml:space="preserve">If there is no other </w:t>
      </w:r>
      <w:r>
        <w:rPr>
          <w:rFonts w:ascii="Times New Roman" w:hAnsi="Times New Roman"/>
          <w:i/>
          <w:sz w:val="20"/>
          <w:szCs w:val="20"/>
        </w:rPr>
        <w:t>signal</w:t>
      </w:r>
      <w:r>
        <w:rPr>
          <w:rFonts w:hint="eastAsia" w:ascii="Times New Roman" w:hAnsi="Times New Roman"/>
          <w:i/>
          <w:sz w:val="20"/>
          <w:szCs w:val="20"/>
        </w:rPr>
        <w:t xml:space="preserve"> on the symbol with aperiodic CSI-RS,</w:t>
      </w:r>
      <w:r>
        <w:rPr>
          <w:rFonts w:ascii="Times New Roman" w:hAnsi="Times New Roman"/>
          <w:i/>
          <w:sz w:val="20"/>
          <w:szCs w:val="20"/>
        </w:rPr>
        <w:t xml:space="preserve"> </w:t>
      </w:r>
      <w:r>
        <w:rPr>
          <w:rFonts w:hint="eastAsia" w:ascii="Times New Roman" w:hAnsi="Times New Roman"/>
          <w:i/>
          <w:sz w:val="20"/>
          <w:szCs w:val="20"/>
        </w:rPr>
        <w:t xml:space="preserve">the first one of the </w:t>
      </w:r>
      <w:r>
        <w:rPr>
          <w:rFonts w:ascii="Times New Roman" w:hAnsi="Times New Roman"/>
          <w:i/>
          <w:sz w:val="20"/>
          <w:szCs w:val="20"/>
        </w:rPr>
        <w:t xml:space="preserve">two </w:t>
      </w:r>
      <w:r>
        <w:rPr>
          <w:rFonts w:hint="eastAsia" w:ascii="Times New Roman" w:hAnsi="Times New Roman"/>
          <w:i/>
          <w:sz w:val="20"/>
          <w:szCs w:val="20"/>
        </w:rPr>
        <w:t>TCI states of the CORESET</w:t>
      </w:r>
      <w:r>
        <w:rPr>
          <w:rFonts w:ascii="Times New Roman" w:hAnsi="Times New Roman"/>
          <w:i/>
          <w:sz w:val="20"/>
          <w:szCs w:val="20"/>
        </w:rPr>
        <w:t xml:space="preserve"> with lowest index</w:t>
      </w:r>
      <w:r>
        <w:rPr>
          <w:rFonts w:hint="eastAsia" w:ascii="Times New Roman" w:hAnsi="Times New Roman"/>
          <w:i/>
          <w:sz w:val="20"/>
          <w:szCs w:val="20"/>
        </w:rPr>
        <w:t xml:space="preserve"> should be used as the default TCI state of the aperiodic CSI-RS</w:t>
      </w:r>
      <w:r>
        <w:rPr>
          <w:rFonts w:ascii="Times New Roman" w:hAnsi="Times New Roman"/>
          <w:i/>
          <w:sz w:val="20"/>
          <w:szCs w:val="20"/>
        </w:rPr>
        <w:t>.</w:t>
      </w:r>
    </w:p>
    <w:p>
      <w:pPr>
        <w:pStyle w:val="99"/>
        <w:numPr>
          <w:ilvl w:val="0"/>
          <w:numId w:val="15"/>
        </w:numPr>
        <w:snapToGrid w:val="0"/>
        <w:spacing w:before="180" w:beforeLines="50" w:after="180" w:afterLines="50" w:line="240" w:lineRule="auto"/>
        <w:ind w:firstLineChars="0"/>
        <w:jc w:val="both"/>
        <w:rPr>
          <w:rFonts w:ascii="Times New Roman" w:hAnsi="Times New Roman"/>
          <w:i/>
          <w:iCs/>
          <w:sz w:val="20"/>
          <w:szCs w:val="20"/>
        </w:rPr>
      </w:pPr>
      <w:r>
        <w:rPr>
          <w:rFonts w:hint="eastAsia" w:ascii="Times New Roman" w:hAnsi="Times New Roman"/>
          <w:i/>
          <w:sz w:val="20"/>
          <w:szCs w:val="20"/>
        </w:rPr>
        <w:t>If</w:t>
      </w:r>
      <w:r>
        <w:rPr>
          <w:rFonts w:ascii="Times New Roman" w:hAnsi="Times New Roman"/>
          <w:i/>
          <w:sz w:val="20"/>
          <w:szCs w:val="20"/>
        </w:rPr>
        <w:t xml:space="preserve"> there is other signal on the same symbol with the </w:t>
      </w:r>
      <w:r>
        <w:rPr>
          <w:rFonts w:hint="eastAsia" w:ascii="Times New Roman" w:hAnsi="Times New Roman"/>
          <w:i/>
          <w:sz w:val="20"/>
          <w:szCs w:val="20"/>
        </w:rPr>
        <w:t xml:space="preserve">AP </w:t>
      </w:r>
      <w:r>
        <w:rPr>
          <w:rFonts w:ascii="Times New Roman" w:hAnsi="Times New Roman"/>
          <w:i/>
          <w:sz w:val="20"/>
          <w:szCs w:val="20"/>
        </w:rPr>
        <w:t xml:space="preserve">CSI-RS, </w:t>
      </w:r>
      <w:r>
        <w:rPr>
          <w:rFonts w:hint="eastAsia" w:ascii="Times New Roman" w:hAnsi="Times New Roman"/>
          <w:i/>
          <w:sz w:val="20"/>
          <w:szCs w:val="20"/>
        </w:rPr>
        <w:t xml:space="preserve">the default TCI </w:t>
      </w:r>
      <w:r>
        <w:rPr>
          <w:rFonts w:ascii="Times New Roman" w:hAnsi="Times New Roman"/>
          <w:i/>
          <w:sz w:val="20"/>
          <w:szCs w:val="20"/>
        </w:rPr>
        <w:t>of the AP CSI-RS follows  the first TCI state of the other signal.</w:t>
      </w:r>
    </w:p>
    <w:p>
      <w:pPr>
        <w:pStyle w:val="99"/>
        <w:numPr>
          <w:ilvl w:val="1"/>
          <w:numId w:val="11"/>
        </w:numPr>
        <w:snapToGrid w:val="0"/>
        <w:spacing w:before="180" w:beforeLines="50" w:after="180" w:afterLines="50" w:line="240" w:lineRule="auto"/>
        <w:ind w:firstLineChars="0"/>
        <w:jc w:val="both"/>
        <w:rPr>
          <w:rFonts w:ascii="Times New Roman" w:hAnsi="Times New Roman"/>
          <w:i/>
          <w:sz w:val="20"/>
          <w:szCs w:val="20"/>
        </w:rPr>
      </w:pPr>
      <w:r>
        <w:rPr>
          <w:rFonts w:hint="eastAsia" w:ascii="Times New Roman" w:hAnsi="Times New Roman"/>
          <w:i/>
          <w:sz w:val="20"/>
          <w:szCs w:val="20"/>
        </w:rPr>
        <w:t>I</w:t>
      </w:r>
      <w:r>
        <w:rPr>
          <w:rFonts w:ascii="Times New Roman" w:hAnsi="Times New Roman"/>
          <w:i/>
          <w:sz w:val="20"/>
          <w:szCs w:val="20"/>
        </w:rPr>
        <w:t>f UE is able to support Rel-16 default beam feature, reuse Rel-16 default beam rules.</w:t>
      </w:r>
    </w:p>
    <w:bookmarkEnd w:id="20"/>
    <w:p>
      <w:pPr>
        <w:snapToGrid w:val="0"/>
        <w:spacing w:before="180" w:beforeLines="50" w:after="180" w:afterLines="50" w:line="240" w:lineRule="auto"/>
        <w:jc w:val="both"/>
        <w:rPr>
          <w:rFonts w:ascii="Times New Roman" w:hAnsi="Times New Roman"/>
          <w:i/>
          <w:iCs/>
          <w:sz w:val="20"/>
          <w:szCs w:val="20"/>
        </w:rPr>
      </w:pPr>
    </w:p>
    <w:bookmarkEnd w:id="16"/>
    <w:bookmarkEnd w:id="19"/>
    <w:p>
      <w:pPr>
        <w:pStyle w:val="2"/>
        <w:snapToGrid w:val="0"/>
        <w:spacing w:before="180" w:beforeLines="50" w:after="180" w:afterLines="50"/>
        <w:ind w:left="431" w:hanging="431"/>
        <w:rPr>
          <w:lang w:val="en-US"/>
        </w:rPr>
      </w:pPr>
      <w:r>
        <w:rPr>
          <w:lang w:val="en-US"/>
        </w:rPr>
        <w:t>Conclusions</w:t>
      </w:r>
    </w:p>
    <w:p>
      <w:pPr>
        <w:snapToGrid w:val="0"/>
        <w:spacing w:before="180" w:beforeLines="50" w:after="180" w:afterLines="50" w:line="240" w:lineRule="auto"/>
        <w:jc w:val="both"/>
        <w:rPr>
          <w:rFonts w:ascii="Times New Roman" w:hAnsi="Times New Roman"/>
          <w:iCs/>
          <w:sz w:val="20"/>
          <w:szCs w:val="20"/>
        </w:rPr>
      </w:pPr>
      <w:bookmarkStart w:id="21" w:name="OLE_LINK10"/>
      <w:bookmarkStart w:id="22" w:name="OLE_LINK11"/>
      <w:r>
        <w:rPr>
          <w:rFonts w:ascii="Times New Roman" w:hAnsi="Times New Roman"/>
          <w:sz w:val="20"/>
          <w:szCs w:val="20"/>
          <w:lang w:val="en-GB"/>
        </w:rPr>
        <w:t xml:space="preserve">In this contribution, we provide </w:t>
      </w:r>
      <w:r>
        <w:rPr>
          <w:rFonts w:ascii="Times New Roman" w:hAnsi="Times New Roman"/>
          <w:sz w:val="20"/>
          <w:szCs w:val="20"/>
        </w:rPr>
        <w:t>our views to enhance HST-SFN deployment scenario</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Observation 1: </w:t>
      </w:r>
      <w:r>
        <w:rPr>
          <w:rFonts w:ascii="Times New Roman" w:hAnsi="Times New Roman"/>
          <w:i/>
          <w:iCs/>
          <w:sz w:val="20"/>
          <w:szCs w:val="20"/>
        </w:rPr>
        <w:t>SFN</w:t>
      </w:r>
      <w:r>
        <w:rPr>
          <w:rFonts w:ascii="Times New Roman" w:hAnsi="Times New Roman"/>
          <w:b/>
          <w:bCs/>
          <w:i/>
          <w:iCs/>
          <w:sz w:val="20"/>
          <w:szCs w:val="20"/>
        </w:rPr>
        <w:t xml:space="preserve"> </w:t>
      </w:r>
      <w:r>
        <w:rPr>
          <w:rFonts w:ascii="Times New Roman" w:hAnsi="Times New Roman"/>
          <w:i/>
          <w:iCs/>
          <w:sz w:val="20"/>
          <w:szCs w:val="20"/>
        </w:rPr>
        <w:t>pre-compensation at gNB side makes better performance than scheme 1 for all the UE locations, and also makes better performance than DPS around the middle point between two TRPs.\</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1: </w:t>
      </w:r>
      <w:r>
        <w:rPr>
          <w:rFonts w:ascii="Times New Roman" w:hAnsi="Times New Roman"/>
          <w:i/>
          <w:iCs/>
          <w:sz w:val="20"/>
          <w:szCs w:val="20"/>
        </w:rPr>
        <w:t>Frequency offset</w:t>
      </w:r>
      <w:r>
        <w:rPr>
          <w:rFonts w:ascii="Times New Roman" w:hAnsi="Times New Roman"/>
          <w:b/>
          <w:bCs/>
          <w:i/>
          <w:iCs/>
          <w:sz w:val="20"/>
          <w:szCs w:val="20"/>
        </w:rPr>
        <w:t xml:space="preserve"> </w:t>
      </w:r>
      <w:r>
        <w:rPr>
          <w:rFonts w:ascii="Times New Roman" w:hAnsi="Times New Roman"/>
          <w:i/>
          <w:iCs/>
          <w:sz w:val="20"/>
          <w:szCs w:val="20"/>
        </w:rPr>
        <w:t>pre-compensation at gNB side should be supported.</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2: </w:t>
      </w:r>
      <w:r>
        <w:rPr>
          <w:rFonts w:ascii="Times New Roman" w:hAnsi="Times New Roman"/>
          <w:i/>
          <w:iCs/>
          <w:sz w:val="20"/>
          <w:szCs w:val="20"/>
        </w:rPr>
        <w:t xml:space="preserve">When frequency offset pre-compensation solution is indicated for PDSCH transmission, UE only uses {average delay, delay spread} from the second TCI state (or the first TCI state), that is UE ignores {Doppler shift, Doppler spread} from the second TCI state (or the first TCI state). </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b/>
          <w:bCs/>
          <w:i/>
          <w:iCs/>
          <w:sz w:val="20"/>
          <w:szCs w:val="20"/>
        </w:rPr>
        <w:t>Proposal 3:</w:t>
      </w:r>
      <w:r>
        <w:rPr>
          <w:rFonts w:ascii="Times New Roman" w:hAnsi="Times New Roman"/>
          <w:bCs/>
          <w:i/>
          <w:iCs/>
          <w:sz w:val="20"/>
          <w:szCs w:val="20"/>
        </w:rPr>
        <w:t xml:space="preserve"> </w:t>
      </w:r>
      <w:r>
        <w:rPr>
          <w:rFonts w:ascii="Times New Roman" w:hAnsi="Times New Roman"/>
          <w:i/>
          <w:sz w:val="20"/>
          <w:szCs w:val="20"/>
        </w:rPr>
        <w:t>Support dynamic switching among single-TRP, Rel-17 SFN and Rel-16 SDM MTRP scheme</w:t>
      </w:r>
      <w:r>
        <w:rPr>
          <w:rFonts w:ascii="Times New Roman" w:hAnsi="Times New Roman"/>
          <w:iCs/>
          <w:sz w:val="20"/>
          <w:szCs w:val="20"/>
        </w:rPr>
        <w:t xml:space="preserve">. </w:t>
      </w:r>
    </w:p>
    <w:p>
      <w:pPr>
        <w:pStyle w:val="96"/>
        <w:numPr>
          <w:ilvl w:val="255"/>
          <w:numId w:val="0"/>
        </w:numPr>
        <w:snapToGrid w:val="0"/>
        <w:spacing w:before="180" w:beforeLines="50" w:after="180" w:afterLines="50" w:line="240" w:lineRule="auto"/>
        <w:contextualSpacing/>
        <w:jc w:val="both"/>
        <w:rPr>
          <w:rFonts w:ascii="Times New Roman" w:hAnsi="Times New Roman"/>
          <w:iCs/>
          <w:sz w:val="20"/>
          <w:szCs w:val="20"/>
        </w:rPr>
      </w:pPr>
      <w:r>
        <w:rPr>
          <w:rFonts w:ascii="Times New Roman" w:hAnsi="Times New Roman"/>
          <w:b/>
          <w:bCs/>
          <w:i/>
          <w:iCs/>
          <w:sz w:val="20"/>
          <w:szCs w:val="20"/>
        </w:rPr>
        <w:t xml:space="preserve">Proposal 4: </w:t>
      </w:r>
      <w:r>
        <w:rPr>
          <w:rFonts w:ascii="Times New Roman" w:hAnsi="Times New Roman"/>
          <w:bCs/>
          <w:i/>
          <w:iCs/>
          <w:sz w:val="20"/>
          <w:szCs w:val="20"/>
        </w:rPr>
        <w:t>For SFN based PDSCH transmission, support all DMRS ports are within one CDM group</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Proposal 5:</w:t>
      </w:r>
      <w:r>
        <w:rPr>
          <w:rFonts w:ascii="Times New Roman" w:hAnsi="Times New Roman"/>
          <w:i/>
          <w:sz w:val="20"/>
          <w:szCs w:val="20"/>
        </w:rPr>
        <w:t xml:space="preserve"> When the slot offset between PDCCH and PDSCH is smaller than the threshold, and at least one TCI codepoint indicates two TCI states</w:t>
      </w:r>
    </w:p>
    <w:p>
      <w:pPr>
        <w:pStyle w:val="99"/>
        <w:numPr>
          <w:ilvl w:val="0"/>
          <w:numId w:val="16"/>
        </w:numPr>
        <w:snapToGrid w:val="0"/>
        <w:spacing w:before="180" w:beforeLines="50" w:after="180" w:afterLines="50" w:line="240" w:lineRule="auto"/>
        <w:ind w:firstLineChars="0"/>
        <w:jc w:val="both"/>
        <w:rPr>
          <w:rFonts w:ascii="Times New Roman" w:hAnsi="Times New Roman"/>
          <w:i/>
          <w:sz w:val="20"/>
          <w:szCs w:val="20"/>
        </w:rPr>
      </w:pPr>
      <w:r>
        <w:rPr>
          <w:rFonts w:ascii="Times New Roman" w:hAnsi="Times New Roman"/>
          <w:i/>
          <w:sz w:val="20"/>
          <w:szCs w:val="20"/>
        </w:rPr>
        <w:t>If SFN based MTRP transmission is used for PDSCH, each DMRS port of PDSCH should be associated with the two TCI states in the lowest codepoint among the TCI codepoints containing two different TCI states.</w:t>
      </w:r>
    </w:p>
    <w:p>
      <w:pPr>
        <w:pStyle w:val="99"/>
        <w:numPr>
          <w:ilvl w:val="0"/>
          <w:numId w:val="16"/>
        </w:numPr>
        <w:snapToGrid w:val="0"/>
        <w:spacing w:before="180" w:beforeLines="50" w:after="180" w:afterLines="50" w:line="240" w:lineRule="auto"/>
        <w:ind w:firstLineChars="0"/>
        <w:jc w:val="both"/>
        <w:rPr>
          <w:rFonts w:ascii="Times New Roman" w:hAnsi="Times New Roman"/>
          <w:i/>
          <w:sz w:val="20"/>
          <w:szCs w:val="20"/>
        </w:rPr>
      </w:pPr>
      <w:r>
        <w:rPr>
          <w:rFonts w:ascii="Times New Roman" w:hAnsi="Times New Roman"/>
          <w:i/>
          <w:sz w:val="20"/>
          <w:szCs w:val="20"/>
        </w:rPr>
        <w:t>If there is dynamic switching between single TRP and SFN based MTRP, and single TRP transmission is actually used for PDSCH, each DMRS port of PDSCH should be associated with the first one of the two TCI states in the lowest codepoint among the TCI codepoints containing two different TCI states.</w:t>
      </w:r>
    </w:p>
    <w:p>
      <w:pPr>
        <w:snapToGrid w:val="0"/>
        <w:spacing w:before="180" w:beforeLines="50" w:after="180" w:afterLines="50" w:line="240" w:lineRule="auto"/>
        <w:rPr>
          <w:rFonts w:ascii="Times New Roman" w:hAnsi="Times New Roman"/>
          <w:i/>
          <w:sz w:val="20"/>
          <w:szCs w:val="20"/>
        </w:rPr>
      </w:pPr>
      <w:r>
        <w:rPr>
          <w:rFonts w:ascii="Times New Roman" w:hAnsi="Times New Roman"/>
          <w:b/>
          <w:i/>
          <w:sz w:val="20"/>
          <w:szCs w:val="20"/>
        </w:rPr>
        <w:t>Proposal 6:</w:t>
      </w:r>
      <w:r>
        <w:rPr>
          <w:rFonts w:ascii="Times New Roman" w:hAnsi="Times New Roman"/>
          <w:i/>
          <w:sz w:val="20"/>
          <w:szCs w:val="20"/>
        </w:rPr>
        <w:t xml:space="preserve"> When the slot offset between PDCCH and PDSCH is smaller than the threshold, if there is no TCI codepoint containing two TCI states or UE is not able to support two default beams of PDSCH, each DMRS port of PDSCH should be associated with the first one of the two TCI states of the CORESET with the lowest index in the latest slot.</w:t>
      </w:r>
    </w:p>
    <w:p>
      <w:pPr>
        <w:snapToGrid w:val="0"/>
        <w:spacing w:before="180" w:beforeLines="50" w:after="180" w:afterLines="50" w:line="240" w:lineRule="auto"/>
        <w:jc w:val="both"/>
        <w:rPr>
          <w:rFonts w:ascii="Times New Roman" w:hAnsi="Times New Roman"/>
          <w:i/>
          <w:color w:val="000000"/>
          <w:sz w:val="20"/>
          <w:szCs w:val="20"/>
        </w:rPr>
      </w:pPr>
      <w:r>
        <w:rPr>
          <w:rFonts w:ascii="Times New Roman" w:hAnsi="Times New Roman"/>
          <w:b/>
          <w:bCs/>
          <w:i/>
          <w:iCs/>
          <w:sz w:val="20"/>
          <w:szCs w:val="20"/>
        </w:rPr>
        <w:t xml:space="preserve">Proposal 7: </w:t>
      </w:r>
      <w:r>
        <w:rPr>
          <w:rFonts w:ascii="Times New Roman" w:hAnsi="Times New Roman"/>
          <w:i/>
          <w:iCs/>
          <w:sz w:val="20"/>
          <w:szCs w:val="20"/>
        </w:rPr>
        <w:t xml:space="preserve">If PDSCH is scheduled by a PDCCH without TCI field present, </w:t>
      </w:r>
      <w:r>
        <w:rPr>
          <w:rFonts w:ascii="Times New Roman" w:hAnsi="Times New Roman"/>
          <w:i/>
          <w:color w:val="000000"/>
          <w:sz w:val="20"/>
          <w:szCs w:val="20"/>
        </w:rPr>
        <w:t>the UE assumes that the TCI state of the PDSCH is identical to the first one of two activated TCI states of the PDCCH.</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b/>
          <w:bCs/>
          <w:i/>
          <w:iCs/>
          <w:sz w:val="20"/>
          <w:szCs w:val="20"/>
        </w:rPr>
        <w:t>Proposal 8:</w:t>
      </w:r>
      <w:r>
        <w:rPr>
          <w:rFonts w:ascii="Times New Roman" w:hAnsi="Times New Roman"/>
          <w:b/>
          <w:bCs/>
          <w:i/>
          <w:iCs/>
          <w:sz w:val="20"/>
          <w:szCs w:val="20"/>
        </w:rPr>
        <w:t xml:space="preserve"> </w:t>
      </w:r>
    </w:p>
    <w:p>
      <w:pPr>
        <w:pStyle w:val="99"/>
        <w:numPr>
          <w:ilvl w:val="0"/>
          <w:numId w:val="11"/>
        </w:numPr>
        <w:snapToGrid w:val="0"/>
        <w:spacing w:before="180" w:beforeLines="50" w:after="180" w:afterLines="50" w:line="240" w:lineRule="auto"/>
        <w:ind w:firstLineChars="0"/>
        <w:jc w:val="both"/>
        <w:rPr>
          <w:rFonts w:ascii="Times New Roman" w:hAnsi="Times New Roman"/>
          <w:i/>
          <w:iCs/>
          <w:sz w:val="20"/>
          <w:szCs w:val="20"/>
        </w:rPr>
      </w:pPr>
      <w:r>
        <w:rPr>
          <w:rFonts w:ascii="Times New Roman" w:hAnsi="Times New Roman"/>
          <w:i/>
          <w:sz w:val="20"/>
          <w:szCs w:val="20"/>
        </w:rPr>
        <w:t xml:space="preserve">When </w:t>
      </w:r>
      <w:r>
        <w:rPr>
          <w:rFonts w:hint="eastAsia" w:ascii="Times New Roman" w:hAnsi="Times New Roman"/>
          <w:i/>
          <w:sz w:val="20"/>
          <w:szCs w:val="20"/>
        </w:rPr>
        <w:t xml:space="preserve">the slot offset between PDCCH and </w:t>
      </w:r>
      <w:r>
        <w:rPr>
          <w:rFonts w:ascii="Times New Roman" w:hAnsi="Times New Roman"/>
          <w:i/>
          <w:sz w:val="20"/>
          <w:szCs w:val="20"/>
        </w:rPr>
        <w:t>aperiodic CSI-RS</w:t>
      </w:r>
      <w:r>
        <w:rPr>
          <w:rFonts w:hint="eastAsia" w:ascii="Times New Roman" w:hAnsi="Times New Roman"/>
          <w:i/>
          <w:sz w:val="20"/>
          <w:szCs w:val="20"/>
        </w:rPr>
        <w:t xml:space="preserve"> is smaller than the threshold</w:t>
      </w:r>
      <w:r>
        <w:rPr>
          <w:rFonts w:ascii="Times New Roman" w:hAnsi="Times New Roman"/>
          <w:i/>
          <w:sz w:val="20"/>
          <w:szCs w:val="20"/>
        </w:rPr>
        <w:t>,</w:t>
      </w:r>
      <w:r>
        <w:rPr>
          <w:rFonts w:ascii="Times New Roman" w:hAnsi="Times New Roman"/>
          <w:iCs/>
          <w:sz w:val="20"/>
          <w:szCs w:val="20"/>
        </w:rPr>
        <w:t xml:space="preserve"> </w:t>
      </w:r>
      <w:r>
        <w:rPr>
          <w:rFonts w:ascii="Times New Roman" w:hAnsi="Times New Roman"/>
          <w:i/>
          <w:sz w:val="20"/>
          <w:szCs w:val="20"/>
        </w:rPr>
        <w:t xml:space="preserve">and </w:t>
      </w:r>
    </w:p>
    <w:p>
      <w:pPr>
        <w:pStyle w:val="99"/>
        <w:numPr>
          <w:ilvl w:val="1"/>
          <w:numId w:val="11"/>
        </w:numPr>
        <w:snapToGrid w:val="0"/>
        <w:spacing w:before="180" w:beforeLines="50" w:after="180" w:afterLines="50" w:line="240" w:lineRule="auto"/>
        <w:ind w:firstLineChars="0"/>
        <w:jc w:val="both"/>
        <w:rPr>
          <w:rFonts w:ascii="Times New Roman" w:hAnsi="Times New Roman"/>
          <w:iCs/>
          <w:sz w:val="20"/>
          <w:szCs w:val="20"/>
        </w:rPr>
      </w:pPr>
      <w:r>
        <w:rPr>
          <w:rFonts w:ascii="Times New Roman" w:hAnsi="Times New Roman"/>
          <w:i/>
          <w:sz w:val="20"/>
          <w:szCs w:val="20"/>
        </w:rPr>
        <w:t xml:space="preserve">If UE is not able to support Rel-16 default beam feature, </w:t>
      </w:r>
    </w:p>
    <w:p>
      <w:pPr>
        <w:pStyle w:val="99"/>
        <w:numPr>
          <w:ilvl w:val="0"/>
          <w:numId w:val="15"/>
        </w:numPr>
        <w:snapToGrid w:val="0"/>
        <w:spacing w:before="180" w:beforeLines="50" w:after="180" w:afterLines="50" w:line="240" w:lineRule="auto"/>
        <w:ind w:firstLineChars="0"/>
        <w:jc w:val="both"/>
        <w:rPr>
          <w:rFonts w:ascii="Times New Roman" w:hAnsi="Times New Roman"/>
          <w:i/>
          <w:iCs/>
          <w:sz w:val="20"/>
          <w:szCs w:val="20"/>
        </w:rPr>
      </w:pPr>
      <w:r>
        <w:rPr>
          <w:rFonts w:hint="eastAsia" w:ascii="Times New Roman" w:hAnsi="Times New Roman"/>
          <w:i/>
          <w:sz w:val="20"/>
          <w:szCs w:val="20"/>
        </w:rPr>
        <w:t xml:space="preserve">If there is no other </w:t>
      </w:r>
      <w:r>
        <w:rPr>
          <w:rFonts w:ascii="Times New Roman" w:hAnsi="Times New Roman"/>
          <w:i/>
          <w:sz w:val="20"/>
          <w:szCs w:val="20"/>
        </w:rPr>
        <w:t>signal</w:t>
      </w:r>
      <w:r>
        <w:rPr>
          <w:rFonts w:hint="eastAsia" w:ascii="Times New Roman" w:hAnsi="Times New Roman"/>
          <w:i/>
          <w:sz w:val="20"/>
          <w:szCs w:val="20"/>
        </w:rPr>
        <w:t xml:space="preserve"> on the symbol with aperiodic CSI-RS,</w:t>
      </w:r>
      <w:r>
        <w:rPr>
          <w:rFonts w:ascii="Times New Roman" w:hAnsi="Times New Roman"/>
          <w:i/>
          <w:sz w:val="20"/>
          <w:szCs w:val="20"/>
        </w:rPr>
        <w:t xml:space="preserve"> </w:t>
      </w:r>
      <w:r>
        <w:rPr>
          <w:rFonts w:hint="eastAsia" w:ascii="Times New Roman" w:hAnsi="Times New Roman"/>
          <w:i/>
          <w:sz w:val="20"/>
          <w:szCs w:val="20"/>
        </w:rPr>
        <w:t xml:space="preserve">the first one of the </w:t>
      </w:r>
      <w:r>
        <w:rPr>
          <w:rFonts w:ascii="Times New Roman" w:hAnsi="Times New Roman"/>
          <w:i/>
          <w:sz w:val="20"/>
          <w:szCs w:val="20"/>
        </w:rPr>
        <w:t xml:space="preserve">two </w:t>
      </w:r>
      <w:r>
        <w:rPr>
          <w:rFonts w:hint="eastAsia" w:ascii="Times New Roman" w:hAnsi="Times New Roman"/>
          <w:i/>
          <w:sz w:val="20"/>
          <w:szCs w:val="20"/>
        </w:rPr>
        <w:t>TCI states of the CORESET</w:t>
      </w:r>
      <w:r>
        <w:rPr>
          <w:rFonts w:ascii="Times New Roman" w:hAnsi="Times New Roman"/>
          <w:i/>
          <w:sz w:val="20"/>
          <w:szCs w:val="20"/>
        </w:rPr>
        <w:t xml:space="preserve"> with lowest index</w:t>
      </w:r>
      <w:r>
        <w:rPr>
          <w:rFonts w:hint="eastAsia" w:ascii="Times New Roman" w:hAnsi="Times New Roman"/>
          <w:i/>
          <w:sz w:val="20"/>
          <w:szCs w:val="20"/>
        </w:rPr>
        <w:t xml:space="preserve"> should be used as the default TCI state of the aperiodic CSI-RS</w:t>
      </w:r>
      <w:r>
        <w:rPr>
          <w:rFonts w:ascii="Times New Roman" w:hAnsi="Times New Roman"/>
          <w:i/>
          <w:sz w:val="20"/>
          <w:szCs w:val="20"/>
        </w:rPr>
        <w:t>.</w:t>
      </w:r>
    </w:p>
    <w:p>
      <w:pPr>
        <w:pStyle w:val="99"/>
        <w:numPr>
          <w:ilvl w:val="0"/>
          <w:numId w:val="15"/>
        </w:numPr>
        <w:snapToGrid w:val="0"/>
        <w:spacing w:before="180" w:beforeLines="50" w:after="180" w:afterLines="50" w:line="240" w:lineRule="auto"/>
        <w:ind w:firstLineChars="0"/>
        <w:jc w:val="both"/>
        <w:rPr>
          <w:rFonts w:ascii="Times New Roman" w:hAnsi="Times New Roman"/>
          <w:i/>
          <w:iCs/>
          <w:sz w:val="20"/>
          <w:szCs w:val="20"/>
        </w:rPr>
      </w:pPr>
      <w:r>
        <w:rPr>
          <w:rFonts w:hint="eastAsia" w:ascii="Times New Roman" w:hAnsi="Times New Roman"/>
          <w:i/>
          <w:sz w:val="20"/>
          <w:szCs w:val="20"/>
        </w:rPr>
        <w:t>If</w:t>
      </w:r>
      <w:r>
        <w:rPr>
          <w:rFonts w:ascii="Times New Roman" w:hAnsi="Times New Roman"/>
          <w:i/>
          <w:sz w:val="20"/>
          <w:szCs w:val="20"/>
        </w:rPr>
        <w:t xml:space="preserve"> there is other signal on the same symbol with the </w:t>
      </w:r>
      <w:r>
        <w:rPr>
          <w:rFonts w:hint="eastAsia" w:ascii="Times New Roman" w:hAnsi="Times New Roman"/>
          <w:i/>
          <w:sz w:val="20"/>
          <w:szCs w:val="20"/>
        </w:rPr>
        <w:t xml:space="preserve">AP </w:t>
      </w:r>
      <w:r>
        <w:rPr>
          <w:rFonts w:ascii="Times New Roman" w:hAnsi="Times New Roman"/>
          <w:i/>
          <w:sz w:val="20"/>
          <w:szCs w:val="20"/>
        </w:rPr>
        <w:t xml:space="preserve">CSI-RS, </w:t>
      </w:r>
      <w:r>
        <w:rPr>
          <w:rFonts w:hint="eastAsia" w:ascii="Times New Roman" w:hAnsi="Times New Roman"/>
          <w:i/>
          <w:sz w:val="20"/>
          <w:szCs w:val="20"/>
        </w:rPr>
        <w:t xml:space="preserve">the default TCI </w:t>
      </w:r>
      <w:r>
        <w:rPr>
          <w:rFonts w:ascii="Times New Roman" w:hAnsi="Times New Roman"/>
          <w:i/>
          <w:sz w:val="20"/>
          <w:szCs w:val="20"/>
        </w:rPr>
        <w:t>of the AP CSI-RS follows  the first TCI state of the other signal.</w:t>
      </w:r>
    </w:p>
    <w:p>
      <w:pPr>
        <w:pStyle w:val="99"/>
        <w:numPr>
          <w:ilvl w:val="1"/>
          <w:numId w:val="11"/>
        </w:numPr>
        <w:snapToGrid w:val="0"/>
        <w:spacing w:before="180" w:beforeLines="50" w:after="180" w:afterLines="50" w:line="240" w:lineRule="auto"/>
        <w:ind w:firstLineChars="0"/>
        <w:jc w:val="both"/>
        <w:rPr>
          <w:rFonts w:ascii="Times New Roman" w:hAnsi="Times New Roman"/>
          <w:i/>
          <w:sz w:val="20"/>
          <w:szCs w:val="20"/>
        </w:rPr>
      </w:pPr>
      <w:r>
        <w:rPr>
          <w:rFonts w:hint="eastAsia" w:ascii="Times New Roman" w:hAnsi="Times New Roman"/>
          <w:i/>
          <w:sz w:val="20"/>
          <w:szCs w:val="20"/>
        </w:rPr>
        <w:t>I</w:t>
      </w:r>
      <w:r>
        <w:rPr>
          <w:rFonts w:ascii="Times New Roman" w:hAnsi="Times New Roman"/>
          <w:i/>
          <w:sz w:val="20"/>
          <w:szCs w:val="20"/>
        </w:rPr>
        <w:t>f UE is able to support Rel-16 default beam feature, reuse Rel-16 default beam rules.</w:t>
      </w:r>
    </w:p>
    <w:p>
      <w:pPr>
        <w:pStyle w:val="2"/>
        <w:snapToGrid w:val="0"/>
        <w:spacing w:before="180" w:beforeLines="50" w:after="180" w:afterLines="50"/>
        <w:ind w:left="431" w:hanging="431"/>
        <w:rPr>
          <w:lang w:val="en-US"/>
        </w:rPr>
      </w:pPr>
      <w:r>
        <w:rPr>
          <w:rFonts w:hint="eastAsia"/>
          <w:lang w:val="en-US"/>
        </w:rPr>
        <w:t>References</w:t>
      </w:r>
    </w:p>
    <w:bookmarkEnd w:id="21"/>
    <w:bookmarkEnd w:id="22"/>
    <w:p>
      <w:pPr>
        <w:pStyle w:val="88"/>
        <w:numPr>
          <w:ilvl w:val="0"/>
          <w:numId w:val="17"/>
        </w:numPr>
        <w:snapToGrid w:val="0"/>
        <w:rPr>
          <w:sz w:val="20"/>
          <w:szCs w:val="20"/>
          <w:lang w:val="en-GB"/>
        </w:rPr>
      </w:pPr>
      <w:r>
        <w:rPr>
          <w:rFonts w:hint="eastAsia"/>
          <w:sz w:val="20"/>
          <w:szCs w:val="20"/>
        </w:rPr>
        <w:t>RP-193133, WID proposal FeMIMO, Samsung</w:t>
      </w:r>
    </w:p>
    <w:p>
      <w:pPr>
        <w:pStyle w:val="88"/>
        <w:numPr>
          <w:ilvl w:val="0"/>
          <w:numId w:val="17"/>
        </w:numPr>
        <w:snapToGrid w:val="0"/>
        <w:rPr>
          <w:sz w:val="20"/>
          <w:szCs w:val="20"/>
          <w:lang w:val="en-GB"/>
        </w:rPr>
      </w:pPr>
      <w:r>
        <w:rPr>
          <w:rFonts w:hint="eastAsia"/>
          <w:sz w:val="20"/>
          <w:szCs w:val="20"/>
        </w:rPr>
        <w:t>Chairman's Notes RAN1#102-e Final</w:t>
      </w:r>
    </w:p>
    <w:p>
      <w:pPr>
        <w:pStyle w:val="88"/>
        <w:numPr>
          <w:ilvl w:val="0"/>
          <w:numId w:val="17"/>
        </w:numPr>
        <w:snapToGrid w:val="0"/>
        <w:rPr>
          <w:sz w:val="20"/>
          <w:szCs w:val="20"/>
          <w:lang w:val="en-GB"/>
        </w:rPr>
      </w:pPr>
      <w:bookmarkStart w:id="23" w:name="OLE_LINK20"/>
      <w:r>
        <w:rPr>
          <w:rFonts w:hint="eastAsia"/>
          <w:sz w:val="20"/>
          <w:szCs w:val="20"/>
        </w:rPr>
        <w:t>Chairman's Notes RAN1#103-e Final</w:t>
      </w:r>
    </w:p>
    <w:bookmarkEnd w:id="23"/>
    <w:p>
      <w:pPr>
        <w:pStyle w:val="88"/>
        <w:numPr>
          <w:ilvl w:val="0"/>
          <w:numId w:val="17"/>
        </w:numPr>
        <w:snapToGrid w:val="0"/>
        <w:rPr>
          <w:sz w:val="20"/>
          <w:szCs w:val="20"/>
          <w:lang w:val="en-GB"/>
        </w:rPr>
      </w:pPr>
      <w:r>
        <w:rPr>
          <w:rFonts w:hint="eastAsia"/>
          <w:sz w:val="20"/>
          <w:szCs w:val="20"/>
        </w:rPr>
        <w:t>Chairman's Notes RAN1#104-e Final</w:t>
      </w:r>
    </w:p>
    <w:p>
      <w:pPr>
        <w:pStyle w:val="88"/>
        <w:numPr>
          <w:ilvl w:val="0"/>
          <w:numId w:val="17"/>
        </w:numPr>
        <w:snapToGrid w:val="0"/>
        <w:rPr>
          <w:sz w:val="20"/>
          <w:szCs w:val="20"/>
          <w:lang w:val="en-GB"/>
        </w:rPr>
      </w:pPr>
      <w:r>
        <w:rPr>
          <w:sz w:val="20"/>
          <w:szCs w:val="20"/>
          <w:lang w:val="en-GB"/>
        </w:rPr>
        <w:t>R1-2007767 Discussion on Multi-TRP HST enhancement_ZTE</w:t>
      </w:r>
    </w:p>
    <w:p>
      <w:pPr>
        <w:pStyle w:val="88"/>
        <w:numPr>
          <w:ilvl w:val="0"/>
          <w:numId w:val="17"/>
        </w:numPr>
        <w:snapToGrid w:val="0"/>
        <w:rPr>
          <w:sz w:val="20"/>
          <w:szCs w:val="20"/>
          <w:lang w:val="en-GB"/>
        </w:rPr>
      </w:pPr>
      <w:r>
        <w:rPr>
          <w:rFonts w:hint="eastAsia"/>
          <w:sz w:val="20"/>
          <w:szCs w:val="20"/>
        </w:rPr>
        <w:t>R1-2101143 Enhancement on HST deployment, Ericsson</w:t>
      </w:r>
    </w:p>
    <w:p>
      <w:pPr>
        <w:pStyle w:val="88"/>
        <w:snapToGrid w:val="0"/>
        <w:rPr>
          <w:sz w:val="20"/>
          <w:szCs w:val="20"/>
          <w:lang w:val="en-GB"/>
        </w:rPr>
      </w:pPr>
    </w:p>
    <w:p>
      <w:pPr>
        <w:pStyle w:val="2"/>
        <w:snapToGrid w:val="0"/>
        <w:rPr>
          <w:lang w:val="en-US"/>
        </w:rPr>
      </w:pPr>
      <w:r>
        <w:rPr>
          <w:rFonts w:hint="eastAsia"/>
          <w:lang w:val="en-US"/>
        </w:rPr>
        <w:t>Appendix</w:t>
      </w: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hint="eastAsia"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hint="eastAsia"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hint="eastAsia" w:ascii="Arial" w:hAnsi="Arial" w:eastAsia="黑体" w:cs="Arial"/>
          <w:b/>
          <w:bCs/>
          <w:vanish/>
          <w:sz w:val="24"/>
          <w:szCs w:val="24"/>
        </w:rPr>
      </w:pPr>
    </w:p>
    <w:p>
      <w:pPr>
        <w:pStyle w:val="3"/>
        <w:numPr>
          <w:ilvl w:val="1"/>
          <w:numId w:val="4"/>
        </w:numPr>
        <w:snapToGrid w:val="0"/>
        <w:spacing w:before="180" w:beforeLines="50" w:after="180" w:afterLines="50"/>
        <w:rPr>
          <w:rFonts w:hint="eastAsia" w:ascii="Arial" w:hAnsi="Arial" w:cs="Arial"/>
          <w:sz w:val="24"/>
          <w:szCs w:val="24"/>
          <w:lang w:val="en-US"/>
        </w:rPr>
      </w:pPr>
      <w:r>
        <w:rPr>
          <w:rFonts w:hint="eastAsia" w:ascii="Arial" w:hAnsi="Arial" w:cs="Arial"/>
          <w:sz w:val="24"/>
          <w:szCs w:val="24"/>
          <w:lang w:val="en-US"/>
        </w:rPr>
        <w:t>S</w:t>
      </w:r>
      <w:r>
        <w:rPr>
          <w:rFonts w:ascii="Arial" w:hAnsi="Arial" w:cs="Arial"/>
          <w:sz w:val="24"/>
          <w:szCs w:val="24"/>
          <w:lang w:val="en-US"/>
        </w:rPr>
        <w:t>imulation assumptions</w:t>
      </w: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Table 5-1 LLS assumptions for</w:t>
      </w:r>
      <w:r>
        <w:rPr>
          <w:rFonts w:ascii="Times New Roman" w:hAnsi="Times New Roman" w:eastAsia="宋体"/>
          <w:sz w:val="20"/>
          <w:szCs w:val="20"/>
          <w:lang w:val="en-GB" w:eastAsia="ko-KR"/>
        </w:rPr>
        <w:t xml:space="preserve"> multi-TRP</w:t>
      </w:r>
      <w:r>
        <w:rPr>
          <w:rFonts w:hint="eastAsia" w:ascii="Times New Roman" w:hAnsi="Times New Roman" w:eastAsia="宋体"/>
          <w:sz w:val="20"/>
          <w:szCs w:val="20"/>
        </w:rPr>
        <w:t xml:space="preserve"> performance evaluation</w:t>
      </w:r>
    </w:p>
    <w:tbl>
      <w:tblPr>
        <w:tblStyle w:val="28"/>
        <w:tblW w:w="9415"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5"/>
        <w:gridCol w:w="6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465" w:type="dxa"/>
            <w:shd w:val="clear" w:color="auto" w:fill="DDD9C4" w:themeFill="background2" w:themeFillShade="E6"/>
          </w:tcPr>
          <w:p>
            <w:pPr>
              <w:snapToGrid w:val="0"/>
              <w:spacing w:after="0" w:line="240" w:lineRule="auto"/>
              <w:rPr>
                <w:rFonts w:ascii="Times New Roman" w:hAnsi="Times New Roman"/>
                <w:sz w:val="20"/>
                <w:szCs w:val="20"/>
              </w:rPr>
            </w:pPr>
            <w:r>
              <w:rPr>
                <w:rFonts w:ascii="Times New Roman" w:hAnsi="Times New Roman" w:eastAsia="宋体"/>
                <w:b/>
                <w:bCs/>
                <w:color w:val="000000" w:themeColor="text1"/>
                <w:kern w:val="24"/>
                <w:sz w:val="20"/>
                <w:szCs w:val="20"/>
                <w:lang w:val="en-GB"/>
                <w14:textFill>
                  <w14:solidFill>
                    <w14:schemeClr w14:val="tx1"/>
                  </w14:solidFill>
                </w14:textFill>
              </w:rPr>
              <w:t>Parameter</w:t>
            </w:r>
          </w:p>
        </w:tc>
        <w:tc>
          <w:tcPr>
            <w:tcW w:w="6950" w:type="dxa"/>
            <w:shd w:val="clear" w:color="auto" w:fill="DDD9C4" w:themeFill="background2" w:themeFillShade="E6"/>
          </w:tcPr>
          <w:p>
            <w:pPr>
              <w:snapToGrid w:val="0"/>
              <w:spacing w:after="0" w:line="240" w:lineRule="auto"/>
              <w:jc w:val="center"/>
              <w:rPr>
                <w:rFonts w:ascii="Times New Roman" w:hAnsi="Times New Roman"/>
                <w:b/>
                <w:bCs/>
                <w:sz w:val="20"/>
                <w:szCs w:val="20"/>
              </w:rPr>
            </w:pPr>
            <w:r>
              <w:rPr>
                <w:rFonts w:ascii="Times New Roman" w:hAnsi="Times New Roman"/>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Duplexing </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vAlign w:val="center"/>
          </w:tcPr>
          <w:p>
            <w:pPr>
              <w:snapToGrid w:val="0"/>
              <w:spacing w:after="0" w:line="240" w:lineRule="auto"/>
              <w:rPr>
                <w:rFonts w:ascii="Times New Roman" w:hAnsi="Times New Roman"/>
                <w:sz w:val="20"/>
                <w:szCs w:val="20"/>
                <w:lang w:val="fr-FR"/>
              </w:rPr>
            </w:pPr>
            <w:r>
              <w:rPr>
                <w:rFonts w:ascii="Times New Roman" w:hAnsi="Times New Roman"/>
                <w:sz w:val="20"/>
                <w:szCs w:val="20"/>
                <w:lang w:val="fr-FR"/>
              </w:rPr>
              <w:t>TRP layout (Ds, Dmin, etc)</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lang w:val="en-GB"/>
              </w:rPr>
              <w:t>Ds=700m, Dmin=150m</w:t>
            </w:r>
            <w:r>
              <w:rPr>
                <w:rFonts w:hint="eastAsia" w:ascii="Times New Roman" w:hAnsi="Times New Roman"/>
                <w:sz w:val="20"/>
                <w:szCs w:val="20"/>
              </w:rPr>
              <w:t>,</w:t>
            </w:r>
            <w:r>
              <w:rPr>
                <w:rFonts w:ascii="Times New Roman" w:hAnsi="Times New Roman"/>
                <w:sz w:val="20"/>
                <w:szCs w:val="20"/>
              </w:rPr>
              <w:t>TRP height</w:t>
            </w:r>
            <w:r>
              <w:rPr>
                <w:rFonts w:hint="eastAsia" w:ascii="Times New Roman" w:hAnsi="Times New Roman"/>
                <w:sz w:val="20"/>
                <w:szCs w:val="20"/>
              </w:rPr>
              <w:t xml:space="preserve"> =</w:t>
            </w:r>
            <w:r>
              <w:rPr>
                <w:rFonts w:ascii="Times New Roman" w:hAnsi="Times New Roman"/>
                <w:sz w:val="20"/>
                <w:szCs w:val="20"/>
              </w:rPr>
              <w:t xml:space="preserve"> 35m</w:t>
            </w:r>
            <w:r>
              <w:rPr>
                <w:rFonts w:hint="eastAsia" w:ascii="Times New Roman" w:hAnsi="Times New Roman"/>
                <w:sz w:val="20"/>
                <w:szCs w:val="20"/>
              </w:rPr>
              <w:t>,</w:t>
            </w:r>
            <w:r>
              <w:rPr>
                <w:rFonts w:ascii="Times New Roman" w:hAnsi="Times New Roman"/>
                <w:sz w:val="20"/>
                <w:szCs w:val="20"/>
              </w:rPr>
              <w:t xml:space="preserve">UE height </w:t>
            </w:r>
            <w:r>
              <w:rPr>
                <w:rFonts w:hint="eastAsia" w:ascii="Times New Roman" w:hAnsi="Times New Roman"/>
                <w:sz w:val="20"/>
                <w:szCs w:val="20"/>
              </w:rPr>
              <w:t>=</w:t>
            </w:r>
            <w:r>
              <w:rPr>
                <w:rFonts w:ascii="Times New Roman" w:hAnsi="Times New Roman"/>
                <w:sz w:val="20"/>
                <w:szCs w:val="20"/>
              </w:rPr>
              <w:t xml:space="preserve"> 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gNB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2 ports: [Mg, Ng, M, N, P]=[1, 1, </w:t>
            </w:r>
            <w:r>
              <w:rPr>
                <w:rFonts w:hint="eastAsia" w:ascii="Times New Roman" w:hAnsi="Times New Roman"/>
                <w:sz w:val="20"/>
                <w:szCs w:val="20"/>
              </w:rPr>
              <w:t>8</w:t>
            </w:r>
            <w:r>
              <w:rPr>
                <w:rFonts w:ascii="Times New Roman" w:hAnsi="Times New Roman"/>
                <w:sz w:val="20"/>
                <w:szCs w:val="20"/>
              </w:rPr>
              <w:t xml:space="preserve">, </w:t>
            </w:r>
            <w:r>
              <w:rPr>
                <w:rFonts w:hint="eastAsia" w:ascii="Times New Roman" w:hAnsi="Times New Roman"/>
                <w:sz w:val="20"/>
                <w:szCs w:val="20"/>
              </w:rPr>
              <w:t>2</w:t>
            </w:r>
            <w:r>
              <w:rPr>
                <w:rFonts w:ascii="Times New Roman" w:hAnsi="Times New Roman"/>
                <w:sz w:val="20"/>
                <w:szCs w:val="20"/>
              </w:rPr>
              <w:t>, 2],</w:t>
            </w:r>
          </w:p>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directional antenna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UE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2 ports: [Mg, Ng, M, N, P]=[ 1, 1, 1, 1, 2] </w:t>
            </w:r>
          </w:p>
          <w:p>
            <w:pPr>
              <w:snapToGrid w:val="0"/>
              <w:spacing w:after="0" w:line="240" w:lineRule="auto"/>
              <w:jc w:val="center"/>
              <w:rPr>
                <w:rFonts w:ascii="Times New Roman" w:hAnsi="Times New Roman"/>
                <w:sz w:val="20"/>
                <w:szCs w:val="20"/>
              </w:rPr>
            </w:pPr>
            <w:r>
              <w:rPr>
                <w:rFonts w:ascii="Times New Roman" w:hAnsi="Times New Roman"/>
                <w:sz w:val="20"/>
                <w:szCs w:val="20"/>
              </w:rPr>
              <w:t>omni-directional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246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DMRS type</w:t>
            </w:r>
          </w:p>
        </w:tc>
        <w:tc>
          <w:tcPr>
            <w:tcW w:w="6950" w:type="dxa"/>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DM-RS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Number of DMRS symbols</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eastAsia="宋体"/>
                <w:sz w:val="20"/>
                <w:szCs w:val="20"/>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MCS</w:t>
            </w:r>
          </w:p>
        </w:tc>
        <w:tc>
          <w:tcPr>
            <w:tcW w:w="6950" w:type="dxa"/>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 MCS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Number of scheduled RBs</w:t>
            </w:r>
          </w:p>
        </w:tc>
        <w:tc>
          <w:tcPr>
            <w:tcW w:w="6950" w:type="dxa"/>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Propagation condition</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CDL</w:t>
            </w:r>
            <w:r>
              <w:rPr>
                <w:rFonts w:hint="eastAsia" w:ascii="Times New Roman" w:hAnsi="Times New Roman"/>
                <w:sz w:val="20"/>
                <w:szCs w:val="20"/>
              </w:rPr>
              <w:t>_</w:t>
            </w:r>
            <w:r>
              <w:rPr>
                <w:rFonts w:ascii="Times New Roman" w:hAnsi="Times New Roman"/>
                <w:sz w:val="20"/>
                <w:szCs w:val="20"/>
              </w:rPr>
              <w:t>D DS =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TRS configuration, TRS periodicity</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10ms, 2-slot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PDSCH / PUSCH mapping</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Type A, Start symbol 2, Duration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eastAsia="MS Mincho"/>
                <w:color w:val="000000" w:themeColor="text1"/>
                <w:kern w:val="24"/>
                <w:sz w:val="20"/>
                <w:szCs w:val="20"/>
                <w14:textFill>
                  <w14:solidFill>
                    <w14:schemeClr w14:val="tx1"/>
                  </w14:solidFill>
                </w14:textFill>
              </w:rPr>
            </w:pPr>
            <w:r>
              <w:rPr>
                <w:rFonts w:ascii="Times New Roman" w:hAnsi="Times New Roman" w:eastAsia="MS Mincho"/>
                <w:color w:val="000000" w:themeColor="text1"/>
                <w:kern w:val="24"/>
                <w:sz w:val="20"/>
                <w:szCs w:val="20"/>
                <w14:textFill>
                  <w14:solidFill>
                    <w14:schemeClr w14:val="tx1"/>
                  </w14:solidFill>
                </w14:textFill>
              </w:rPr>
              <w:t>Rank</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Rank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BW</w:t>
            </w:r>
          </w:p>
        </w:tc>
        <w:tc>
          <w:tcPr>
            <w:tcW w:w="6950" w:type="dxa"/>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Carrier frequency or maximum Doppler shift</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3.5GHz,</w:t>
            </w:r>
            <w:r>
              <w:rPr>
                <w:rFonts w:hint="eastAsia" w:ascii="Times New Roman" w:hAnsi="Times New Roman"/>
                <w:sz w:val="20"/>
                <w:szCs w:val="20"/>
              </w:rPr>
              <w:t>500</w:t>
            </w:r>
            <w:r>
              <w:rPr>
                <w:rFonts w:ascii="Times New Roman" w:hAnsi="Times New Roman" w:eastAsia="宋体"/>
                <w:sz w:val="20"/>
                <w:szCs w:val="20"/>
              </w:rPr>
              <w:t>kmph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Performance metric</w:t>
            </w:r>
          </w:p>
        </w:tc>
        <w:tc>
          <w:tcPr>
            <w:tcW w:w="6950" w:type="dxa"/>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5" w:type="dxa"/>
          </w:tcPr>
          <w:p>
            <w:pPr>
              <w:snapToGrid w:val="0"/>
              <w:spacing w:after="0" w:line="240" w:lineRule="auto"/>
              <w:rPr>
                <w:rFonts w:ascii="Times New Roman" w:hAnsi="Times New Roman"/>
                <w:sz w:val="20"/>
                <w:szCs w:val="20"/>
              </w:rPr>
            </w:pPr>
            <w:r>
              <w:rPr>
                <w:rFonts w:ascii="Times New Roman" w:hAnsi="Times New Roman"/>
                <w:sz w:val="20"/>
                <w:szCs w:val="20"/>
              </w:rPr>
              <w:t xml:space="preserve">Other assumptions or simulation parameters, e.g., correlation </w:t>
            </w:r>
          </w:p>
        </w:tc>
        <w:tc>
          <w:tcPr>
            <w:tcW w:w="695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SCS: 30kHz</w:t>
            </w:r>
          </w:p>
          <w:p>
            <w:pPr>
              <w:snapToGrid w:val="0"/>
              <w:spacing w:after="0" w:line="240" w:lineRule="auto"/>
              <w:rPr>
                <w:rFonts w:ascii="Times New Roman" w:hAnsi="Times New Roman"/>
                <w:sz w:val="20"/>
                <w:szCs w:val="20"/>
              </w:rPr>
            </w:pPr>
          </w:p>
        </w:tc>
      </w:tr>
    </w:tbl>
    <w:p>
      <w:pPr>
        <w:pStyle w:val="3"/>
        <w:numPr>
          <w:ilvl w:val="1"/>
          <w:numId w:val="4"/>
        </w:numPr>
        <w:snapToGrid w:val="0"/>
        <w:spacing w:before="180" w:beforeLines="50" w:after="180" w:afterLines="50"/>
        <w:rPr>
          <w:rFonts w:ascii="Arial" w:hAnsi="Arial" w:cs="Arial"/>
          <w:sz w:val="24"/>
          <w:szCs w:val="24"/>
          <w:lang w:val="en-US"/>
        </w:rPr>
      </w:pPr>
      <w:r>
        <w:rPr>
          <w:rFonts w:hint="eastAsia" w:ascii="Arial" w:hAnsi="Arial" w:cs="Arial"/>
          <w:sz w:val="24"/>
          <w:szCs w:val="24"/>
          <w:lang w:val="en-US"/>
        </w:rPr>
        <w:t>M</w:t>
      </w:r>
      <w:r>
        <w:rPr>
          <w:rFonts w:ascii="Arial" w:hAnsi="Arial" w:cs="Arial"/>
          <w:sz w:val="24"/>
          <w:szCs w:val="24"/>
          <w:lang w:val="en-US"/>
        </w:rPr>
        <w:t>ore simulation results</w:t>
      </w:r>
    </w:p>
    <w:p>
      <w:pPr>
        <w:snapToGrid w:val="0"/>
        <w:spacing w:before="180" w:beforeLines="50" w:after="180" w:afterLines="50" w:line="240" w:lineRule="auto"/>
        <w:jc w:val="both"/>
      </w:pPr>
      <w:r>
        <w:rPr>
          <w:rFonts w:ascii="Times New Roman" w:hAnsi="Times New Roman"/>
          <w:sz w:val="20"/>
          <w:szCs w:val="20"/>
        </w:rPr>
        <w:t>We provide</w:t>
      </w:r>
      <w:r>
        <w:rPr>
          <w:rFonts w:hint="eastAsia" w:ascii="Times New Roman" w:hAnsi="Times New Roman"/>
          <w:sz w:val="20"/>
          <w:szCs w:val="20"/>
        </w:rPr>
        <w:t xml:space="preserve"> some simulation results based on single antenna element per transmitting a</w:t>
      </w:r>
      <w:bookmarkStart w:id="24" w:name="_GoBack"/>
      <w:bookmarkEnd w:id="24"/>
      <w:r>
        <w:rPr>
          <w:rFonts w:hint="eastAsia" w:ascii="Times New Roman" w:hAnsi="Times New Roman"/>
          <w:sz w:val="20"/>
          <w:szCs w:val="20"/>
        </w:rPr>
        <w:t>ntenna port</w:t>
      </w:r>
      <w:r>
        <w:rPr>
          <w:rFonts w:ascii="Times New Roman" w:hAnsi="Times New Roman"/>
          <w:sz w:val="20"/>
          <w:szCs w:val="20"/>
        </w:rPr>
        <w:t xml:space="preserve">, i.e. </w:t>
      </w:r>
      <w:r>
        <w:rPr>
          <w:rFonts w:ascii="Times New Roman" w:hAnsi="Times New Roman" w:eastAsia="宋体"/>
          <w:color w:val="000000" w:themeColor="text1"/>
          <w:kern w:val="24"/>
          <w:sz w:val="20"/>
          <w:szCs w:val="20"/>
          <w:lang w:val="en-GB"/>
          <w14:textFill>
            <w14:solidFill>
              <w14:schemeClr w14:val="tx1"/>
            </w14:solidFill>
          </w14:textFill>
        </w:rPr>
        <w:t>gNB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w:t>
      </w:r>
      <w:r>
        <w:rPr>
          <w:rFonts w:ascii="Times New Roman" w:hAnsi="Times New Roman"/>
          <w:sz w:val="20"/>
          <w:szCs w:val="20"/>
        </w:rPr>
        <w:t xml:space="preserve"> is [Mg, Ng, M, N, P]=[1, 1, 1, 1, 2]. </w:t>
      </w:r>
      <w:r>
        <w:rPr>
          <w:rFonts w:hint="eastAsia" w:ascii="Times New Roman" w:hAnsi="Times New Roman"/>
          <w:sz w:val="20"/>
          <w:szCs w:val="20"/>
        </w:rPr>
        <w:t>The down</w:t>
      </w:r>
      <w:r>
        <w:rPr>
          <w:rFonts w:ascii="Times New Roman" w:hAnsi="Times New Roman"/>
          <w:sz w:val="20"/>
          <w:szCs w:val="20"/>
        </w:rPr>
        <w:t>-</w:t>
      </w:r>
      <w:r>
        <w:rPr>
          <w:rFonts w:hint="eastAsia" w:ascii="Times New Roman" w:hAnsi="Times New Roman"/>
          <w:sz w:val="20"/>
          <w:szCs w:val="20"/>
        </w:rPr>
        <w:t>tilt of each TRP is 10 degrees and other simulation assumptions are shown in Table 5.1. As shown in Figure 4</w:t>
      </w:r>
      <w:r>
        <w:rPr>
          <w:rFonts w:ascii="Times New Roman" w:hAnsi="Times New Roman"/>
          <w:sz w:val="20"/>
          <w:szCs w:val="20"/>
        </w:rPr>
        <w:t>, t</w:t>
      </w:r>
      <w:r>
        <w:rPr>
          <w:rFonts w:hint="eastAsia" w:ascii="Times New Roman" w:hAnsi="Times New Roman"/>
          <w:sz w:val="20"/>
          <w:szCs w:val="20"/>
        </w:rPr>
        <w:t xml:space="preserve">hese simulation results also show </w:t>
      </w:r>
      <w:r>
        <w:rPr>
          <w:rFonts w:ascii="Times New Roman" w:hAnsi="Times New Roman"/>
          <w:sz w:val="20"/>
          <w:szCs w:val="20"/>
        </w:rPr>
        <w:t xml:space="preserve">that </w:t>
      </w:r>
      <w:r>
        <w:rPr>
          <w:rFonts w:hint="eastAsia" w:ascii="Times New Roman" w:hAnsi="Times New Roman"/>
          <w:sz w:val="20"/>
          <w:szCs w:val="20"/>
        </w:rPr>
        <w:t xml:space="preserve">pre-compensation </w:t>
      </w:r>
      <w:r>
        <w:rPr>
          <w:rFonts w:ascii="Times New Roman" w:hAnsi="Times New Roman"/>
          <w:sz w:val="20"/>
          <w:szCs w:val="20"/>
        </w:rPr>
        <w:t xml:space="preserve">either </w:t>
      </w:r>
      <w:r>
        <w:rPr>
          <w:rFonts w:hint="eastAsia" w:ascii="Times New Roman" w:hAnsi="Times New Roman"/>
          <w:sz w:val="20"/>
          <w:szCs w:val="20"/>
        </w:rPr>
        <w:t xml:space="preserve">with or without small delay CDD </w:t>
      </w:r>
      <w:r>
        <w:rPr>
          <w:rFonts w:ascii="Times New Roman" w:hAnsi="Times New Roman"/>
          <w:sz w:val="20"/>
          <w:szCs w:val="20"/>
        </w:rPr>
        <w:t>achiev</w:t>
      </w:r>
      <w:r>
        <w:rPr>
          <w:rFonts w:hint="eastAsia" w:ascii="Times New Roman" w:hAnsi="Times New Roman"/>
          <w:sz w:val="20"/>
          <w:szCs w:val="20"/>
        </w:rPr>
        <w:t xml:space="preserve">es better performance than scheme 1 and DPS. </w:t>
      </w:r>
    </w:p>
    <w:p>
      <w:pPr>
        <w:pStyle w:val="88"/>
        <w:snapToGrid w:val="0"/>
        <w:jc w:val="center"/>
      </w:pPr>
      <w:r>
        <w:drawing>
          <wp:inline distT="0" distB="0" distL="114300" distR="114300">
            <wp:extent cx="4743450" cy="2736215"/>
            <wp:effectExtent l="0" t="0" r="0" b="6985"/>
            <wp:docPr id="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0"/>
                    <pic:cNvPicPr>
                      <a:picLocks noChangeAspect="1"/>
                    </pic:cNvPicPr>
                  </pic:nvPicPr>
                  <pic:blipFill>
                    <a:blip r:embed="rId24"/>
                    <a:stretch>
                      <a:fillRect/>
                    </a:stretch>
                  </pic:blipFill>
                  <pic:spPr>
                    <a:xfrm>
                      <a:off x="0" y="0"/>
                      <a:ext cx="4743450" cy="2736215"/>
                    </a:xfrm>
                    <a:prstGeom prst="rect">
                      <a:avLst/>
                    </a:prstGeom>
                    <a:noFill/>
                    <a:ln w="9525">
                      <a:noFill/>
                    </a:ln>
                  </pic:spPr>
                </pic:pic>
              </a:graphicData>
            </a:graphic>
          </wp:inline>
        </w:drawing>
      </w:r>
    </w:p>
    <w:p>
      <w:pPr>
        <w:pStyle w:val="88"/>
        <w:snapToGrid w:val="0"/>
        <w:jc w:val="center"/>
      </w:pPr>
      <w:r>
        <w:drawing>
          <wp:inline distT="0" distB="0" distL="114300" distR="114300">
            <wp:extent cx="4769485" cy="2606040"/>
            <wp:effectExtent l="0" t="0" r="0" b="3810"/>
            <wp:docPr id="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1"/>
                    <pic:cNvPicPr>
                      <a:picLocks noChangeAspect="1"/>
                    </pic:cNvPicPr>
                  </pic:nvPicPr>
                  <pic:blipFill>
                    <a:blip r:embed="rId25"/>
                    <a:stretch>
                      <a:fillRect/>
                    </a:stretch>
                  </pic:blipFill>
                  <pic:spPr>
                    <a:xfrm>
                      <a:off x="0" y="0"/>
                      <a:ext cx="4769485" cy="260604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 xml:space="preserve">4 </w:t>
      </w:r>
      <w:r>
        <w:rPr>
          <w:rFonts w:ascii="Times New Roman" w:hAnsi="Times New Roman"/>
          <w:sz w:val="20"/>
          <w:szCs w:val="20"/>
        </w:rPr>
        <w:t>S</w:t>
      </w:r>
      <w:r>
        <w:rPr>
          <w:rFonts w:hint="eastAsia" w:ascii="Times New Roman" w:hAnsi="Times New Roman"/>
          <w:sz w:val="20"/>
          <w:szCs w:val="20"/>
        </w:rPr>
        <w:t xml:space="preserve">imulation results with different UE locations with </w:t>
      </w:r>
      <w:r>
        <w:rPr>
          <w:rFonts w:hint="eastAsia" w:ascii="Times New Roman" w:hAnsi="Times New Roman"/>
          <w:position w:val="-6"/>
          <w:sz w:val="20"/>
          <w:szCs w:val="20"/>
        </w:rPr>
        <w:object>
          <v:shape id="_x0000_i1031" o:spt="75" type="#_x0000_t75" style="height:14.65pt;width:15.4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6">
            <o:LockedField>false</o:LockedField>
          </o:OLEObject>
        </w:object>
      </w:r>
      <w:r>
        <w:rPr>
          <w:rFonts w:ascii="Times New Roman" w:hAnsi="Times New Roman"/>
          <w:sz w:val="20"/>
          <w:szCs w:val="20"/>
        </w:rPr>
        <w:t>down-tilt</w:t>
      </w:r>
    </w:p>
    <w:p>
      <w:pPr>
        <w:pStyle w:val="88"/>
        <w:snapToGrid w:val="0"/>
      </w:pPr>
    </w:p>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F8B8A4"/>
    <w:multiLevelType w:val="singleLevel"/>
    <w:tmpl w:val="B5F8B8A4"/>
    <w:lvl w:ilvl="0" w:tentative="0">
      <w:start w:val="1"/>
      <w:numFmt w:val="bullet"/>
      <w:lvlText w:val=""/>
      <w:lvlJc w:val="left"/>
      <w:pPr>
        <w:tabs>
          <w:tab w:val="left" w:pos="420"/>
        </w:tabs>
        <w:ind w:left="840" w:hanging="420"/>
      </w:pPr>
      <w:rPr>
        <w:rFonts w:hint="default" w:ascii="Wingdings" w:hAnsi="Wingdings"/>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ascii="Times New Roman" w:hAnsi="Times New Roman" w:eastAsia="宋体" w:cs="宋体"/>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C13C5B4"/>
    <w:multiLevelType w:val="singleLevel"/>
    <w:tmpl w:val="0C13C5B4"/>
    <w:lvl w:ilvl="0" w:tentative="0">
      <w:start w:val="1"/>
      <w:numFmt w:val="bullet"/>
      <w:lvlText w:val=""/>
      <w:lvlJc w:val="left"/>
      <w:pPr>
        <w:tabs>
          <w:tab w:val="left" w:pos="420"/>
        </w:tabs>
        <w:ind w:left="840" w:hanging="420"/>
      </w:pPr>
      <w:rPr>
        <w:rFonts w:hint="default" w:ascii="Wingdings" w:hAnsi="Wingdings"/>
      </w:rPr>
    </w:lvl>
  </w:abstractNum>
  <w:abstractNum w:abstractNumId="4">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0D6BFEB"/>
    <w:multiLevelType w:val="singleLevel"/>
    <w:tmpl w:val="10D6BFEB"/>
    <w:lvl w:ilvl="0" w:tentative="0">
      <w:start w:val="1"/>
      <w:numFmt w:val="bullet"/>
      <w:lvlText w:val=""/>
      <w:lvlJc w:val="left"/>
      <w:pPr>
        <w:tabs>
          <w:tab w:val="left" w:pos="420"/>
        </w:tabs>
        <w:ind w:left="840" w:hanging="420"/>
      </w:pPr>
      <w:rPr>
        <w:rFonts w:hint="default" w:ascii="Wingdings" w:hAnsi="Wingdings"/>
      </w:rPr>
    </w:lvl>
  </w:abstractNum>
  <w:abstractNum w:abstractNumId="6">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Arial" w:hAnsi="Arial" w:eastAsia="宋体" w:cs="宋体"/>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28408BE9"/>
    <w:multiLevelType w:val="multilevel"/>
    <w:tmpl w:val="28408BE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9A02407"/>
    <w:multiLevelType w:val="multilevel"/>
    <w:tmpl w:val="29A02407"/>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9">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10">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43207260"/>
    <w:multiLevelType w:val="multilevel"/>
    <w:tmpl w:val="432072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4633FEC"/>
    <w:multiLevelType w:val="multilevel"/>
    <w:tmpl w:val="44633FE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B5FBF38"/>
    <w:multiLevelType w:val="singleLevel"/>
    <w:tmpl w:val="4B5FBF38"/>
    <w:lvl w:ilvl="0" w:tentative="0">
      <w:start w:val="1"/>
      <w:numFmt w:val="decimal"/>
      <w:suff w:val="space"/>
      <w:lvlText w:val="%1)"/>
      <w:lvlJc w:val="left"/>
    </w:lvl>
  </w:abstractNum>
  <w:abstractNum w:abstractNumId="14">
    <w:nsid w:val="60624C5C"/>
    <w:multiLevelType w:val="multilevel"/>
    <w:tmpl w:val="60624C5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632C5E1E"/>
    <w:multiLevelType w:val="multilevel"/>
    <w:tmpl w:val="632C5E1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717863A4"/>
    <w:multiLevelType w:val="multilevel"/>
    <w:tmpl w:val="717863A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0"/>
  </w:num>
  <w:num w:numId="3">
    <w:abstractNumId w:val="9"/>
  </w:num>
  <w:num w:numId="4">
    <w:abstractNumId w:val="6"/>
  </w:num>
  <w:num w:numId="5">
    <w:abstractNumId w:val="11"/>
  </w:num>
  <w:num w:numId="6">
    <w:abstractNumId w:val="4"/>
  </w:num>
  <w:num w:numId="7">
    <w:abstractNumId w:val="7"/>
  </w:num>
  <w:num w:numId="8">
    <w:abstractNumId w:val="13"/>
  </w:num>
  <w:num w:numId="9">
    <w:abstractNumId w:val="15"/>
  </w:num>
  <w:num w:numId="10">
    <w:abstractNumId w:val="14"/>
  </w:num>
  <w:num w:numId="11">
    <w:abstractNumId w:val="16"/>
  </w:num>
  <w:num w:numId="12">
    <w:abstractNumId w:val="12"/>
  </w:num>
  <w:num w:numId="13">
    <w:abstractNumId w:val="5"/>
  </w:num>
  <w:num w:numId="14">
    <w:abstractNumId w:val="0"/>
  </w:num>
  <w:num w:numId="15">
    <w:abstractNumId w:val="8"/>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A7F75"/>
    <w:rsid w:val="002B018A"/>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6E76"/>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407E"/>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2D5"/>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07"/>
    <w:rsid w:val="006B4A8E"/>
    <w:rsid w:val="006B4AF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B5"/>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1CF"/>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5087"/>
    <w:rsid w:val="00BB50F6"/>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88"/>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2C7"/>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BC9"/>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0E"/>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369A6"/>
    <w:rsid w:val="02C51CD5"/>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5E85"/>
    <w:rsid w:val="0424090B"/>
    <w:rsid w:val="04245D54"/>
    <w:rsid w:val="04272B17"/>
    <w:rsid w:val="04291C59"/>
    <w:rsid w:val="042A2F90"/>
    <w:rsid w:val="042A3EB0"/>
    <w:rsid w:val="042F251E"/>
    <w:rsid w:val="043020F0"/>
    <w:rsid w:val="04317277"/>
    <w:rsid w:val="04347E7A"/>
    <w:rsid w:val="043769C3"/>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560C7"/>
    <w:rsid w:val="08864EC5"/>
    <w:rsid w:val="089557FC"/>
    <w:rsid w:val="08980BAB"/>
    <w:rsid w:val="089E1341"/>
    <w:rsid w:val="089E33C1"/>
    <w:rsid w:val="08A352D2"/>
    <w:rsid w:val="08A44F08"/>
    <w:rsid w:val="08A5384E"/>
    <w:rsid w:val="08A54FD5"/>
    <w:rsid w:val="08AA5BF5"/>
    <w:rsid w:val="08AB6F81"/>
    <w:rsid w:val="08B14555"/>
    <w:rsid w:val="08B37BFE"/>
    <w:rsid w:val="08B97EF6"/>
    <w:rsid w:val="08BC0E13"/>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B0491"/>
    <w:rsid w:val="0C1B4521"/>
    <w:rsid w:val="0C1D14FE"/>
    <w:rsid w:val="0C2343CE"/>
    <w:rsid w:val="0C287ECF"/>
    <w:rsid w:val="0C293F71"/>
    <w:rsid w:val="0C2D2FE4"/>
    <w:rsid w:val="0C2E6FB6"/>
    <w:rsid w:val="0C304B08"/>
    <w:rsid w:val="0C323823"/>
    <w:rsid w:val="0C353033"/>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21257"/>
    <w:rsid w:val="14A5629F"/>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100FA6"/>
    <w:rsid w:val="1513479B"/>
    <w:rsid w:val="151677A4"/>
    <w:rsid w:val="151D2BFF"/>
    <w:rsid w:val="151E65DD"/>
    <w:rsid w:val="151F6DBF"/>
    <w:rsid w:val="1521576A"/>
    <w:rsid w:val="15231E2E"/>
    <w:rsid w:val="15262908"/>
    <w:rsid w:val="1529226A"/>
    <w:rsid w:val="152F620B"/>
    <w:rsid w:val="153868CE"/>
    <w:rsid w:val="15387A07"/>
    <w:rsid w:val="153A5FE7"/>
    <w:rsid w:val="153C1F3A"/>
    <w:rsid w:val="153D0A90"/>
    <w:rsid w:val="153D638E"/>
    <w:rsid w:val="153E4B6C"/>
    <w:rsid w:val="15413E16"/>
    <w:rsid w:val="15422CD4"/>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634DE"/>
    <w:rsid w:val="1A477904"/>
    <w:rsid w:val="1A4D3567"/>
    <w:rsid w:val="1A5576E1"/>
    <w:rsid w:val="1A574E8B"/>
    <w:rsid w:val="1A5B332D"/>
    <w:rsid w:val="1A5D418F"/>
    <w:rsid w:val="1A5E1696"/>
    <w:rsid w:val="1A605DAC"/>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D6CAD"/>
    <w:rsid w:val="1B7E0DF5"/>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41F4D"/>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B5F35"/>
    <w:rsid w:val="249D6F0E"/>
    <w:rsid w:val="249F14E3"/>
    <w:rsid w:val="249F4CC6"/>
    <w:rsid w:val="24A03D43"/>
    <w:rsid w:val="24A40035"/>
    <w:rsid w:val="24AB13AF"/>
    <w:rsid w:val="24AB6028"/>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40AC3"/>
    <w:rsid w:val="26342E81"/>
    <w:rsid w:val="26404BEC"/>
    <w:rsid w:val="264204E2"/>
    <w:rsid w:val="2643057C"/>
    <w:rsid w:val="264605A2"/>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62980"/>
    <w:rsid w:val="26D82E82"/>
    <w:rsid w:val="26D9017F"/>
    <w:rsid w:val="26E45D21"/>
    <w:rsid w:val="26EF797D"/>
    <w:rsid w:val="26F0116E"/>
    <w:rsid w:val="26F104CD"/>
    <w:rsid w:val="26FC3727"/>
    <w:rsid w:val="26FE5EF3"/>
    <w:rsid w:val="27007DB1"/>
    <w:rsid w:val="27023FD8"/>
    <w:rsid w:val="270268FC"/>
    <w:rsid w:val="27074420"/>
    <w:rsid w:val="270A184E"/>
    <w:rsid w:val="270B3BA8"/>
    <w:rsid w:val="27115F5E"/>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94232"/>
    <w:rsid w:val="292A1215"/>
    <w:rsid w:val="292C346D"/>
    <w:rsid w:val="292E488D"/>
    <w:rsid w:val="292F1FF1"/>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9101F7"/>
    <w:rsid w:val="2E9326A8"/>
    <w:rsid w:val="2E9344BB"/>
    <w:rsid w:val="2E962627"/>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E52E8"/>
    <w:rsid w:val="2F725728"/>
    <w:rsid w:val="2F735266"/>
    <w:rsid w:val="2F761B45"/>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1BCF"/>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914DE"/>
    <w:rsid w:val="38BA5014"/>
    <w:rsid w:val="38BA672D"/>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663A1"/>
    <w:rsid w:val="398704BB"/>
    <w:rsid w:val="39882427"/>
    <w:rsid w:val="398B605E"/>
    <w:rsid w:val="39916F0D"/>
    <w:rsid w:val="39926717"/>
    <w:rsid w:val="399812C8"/>
    <w:rsid w:val="399A4AA2"/>
    <w:rsid w:val="399E1C0B"/>
    <w:rsid w:val="399E7C1A"/>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B63E8"/>
    <w:rsid w:val="3A2C09D8"/>
    <w:rsid w:val="3A2C3BA6"/>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B274A"/>
    <w:rsid w:val="3B8D0B94"/>
    <w:rsid w:val="3B8D3F60"/>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137C9"/>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2ADF"/>
    <w:rsid w:val="4B417217"/>
    <w:rsid w:val="4B426FC8"/>
    <w:rsid w:val="4B4A1E20"/>
    <w:rsid w:val="4B4B77CC"/>
    <w:rsid w:val="4B4F2FCA"/>
    <w:rsid w:val="4B4F3F08"/>
    <w:rsid w:val="4B585189"/>
    <w:rsid w:val="4B595225"/>
    <w:rsid w:val="4B5B261F"/>
    <w:rsid w:val="4B6305EB"/>
    <w:rsid w:val="4B643275"/>
    <w:rsid w:val="4B687FD4"/>
    <w:rsid w:val="4B741C5B"/>
    <w:rsid w:val="4B7831B7"/>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B1B6A"/>
    <w:rsid w:val="518B739B"/>
    <w:rsid w:val="518D6560"/>
    <w:rsid w:val="519152EA"/>
    <w:rsid w:val="519410BA"/>
    <w:rsid w:val="519523A8"/>
    <w:rsid w:val="51965D8A"/>
    <w:rsid w:val="519E7457"/>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D17A8"/>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6355DD"/>
    <w:rsid w:val="56662DA4"/>
    <w:rsid w:val="56680BC9"/>
    <w:rsid w:val="566926ED"/>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16A0C"/>
    <w:rsid w:val="56C61BEC"/>
    <w:rsid w:val="56D20BDD"/>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AF0085"/>
    <w:rsid w:val="5AB143A8"/>
    <w:rsid w:val="5AB362B7"/>
    <w:rsid w:val="5AB4247B"/>
    <w:rsid w:val="5AB55C9B"/>
    <w:rsid w:val="5AB929C4"/>
    <w:rsid w:val="5ABA4F93"/>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63F6A"/>
    <w:rsid w:val="5C496E06"/>
    <w:rsid w:val="5C501594"/>
    <w:rsid w:val="5C522BE4"/>
    <w:rsid w:val="5C536E44"/>
    <w:rsid w:val="5C571A41"/>
    <w:rsid w:val="5C574D75"/>
    <w:rsid w:val="5C5D5D6D"/>
    <w:rsid w:val="5C60120B"/>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B11875"/>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42614"/>
    <w:rsid w:val="65483234"/>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E5C26"/>
    <w:rsid w:val="66CF4B91"/>
    <w:rsid w:val="66D40FE2"/>
    <w:rsid w:val="66D57F1E"/>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37B4A"/>
    <w:rsid w:val="693A0AAA"/>
    <w:rsid w:val="693A7B08"/>
    <w:rsid w:val="693C4AC3"/>
    <w:rsid w:val="693F5E7E"/>
    <w:rsid w:val="694101FB"/>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57487"/>
    <w:rsid w:val="6A276108"/>
    <w:rsid w:val="6A2A4ADC"/>
    <w:rsid w:val="6A2A5F02"/>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66B2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0BCD"/>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1AF"/>
    <w:rsid w:val="6D214E93"/>
    <w:rsid w:val="6D2347A7"/>
    <w:rsid w:val="6D234A39"/>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03742"/>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E3B3C"/>
    <w:rsid w:val="7D6F5BF1"/>
    <w:rsid w:val="7D7567BB"/>
    <w:rsid w:val="7D7C7F13"/>
    <w:rsid w:val="7D7D670C"/>
    <w:rsid w:val="7D7E4EE9"/>
    <w:rsid w:val="7D8340D0"/>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972BA"/>
    <w:rsid w:val="7E0976BF"/>
    <w:rsid w:val="7E0E68FC"/>
    <w:rsid w:val="7E0F2115"/>
    <w:rsid w:val="7E0F2C81"/>
    <w:rsid w:val="7E0F3EA6"/>
    <w:rsid w:val="7E0F4721"/>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C3603"/>
    <w:rsid w:val="7F443395"/>
    <w:rsid w:val="7F563140"/>
    <w:rsid w:val="7F591896"/>
    <w:rsid w:val="7F591F0E"/>
    <w:rsid w:val="7F5B5771"/>
    <w:rsid w:val="7F5F27CD"/>
    <w:rsid w:val="7F5F66C5"/>
    <w:rsid w:val="7F601B98"/>
    <w:rsid w:val="7F614A34"/>
    <w:rsid w:val="7F614D28"/>
    <w:rsid w:val="7F6179F3"/>
    <w:rsid w:val="7F63372A"/>
    <w:rsid w:val="7F642634"/>
    <w:rsid w:val="7F6812CE"/>
    <w:rsid w:val="7F69519A"/>
    <w:rsid w:val="7F70218A"/>
    <w:rsid w:val="7F7514A2"/>
    <w:rsid w:val="7F7D592C"/>
    <w:rsid w:val="7F805AC3"/>
    <w:rsid w:val="7F8649A9"/>
    <w:rsid w:val="7F873895"/>
    <w:rsid w:val="7F891D26"/>
    <w:rsid w:val="7F8A16A6"/>
    <w:rsid w:val="7F8B5253"/>
    <w:rsid w:val="7F8D77FC"/>
    <w:rsid w:val="7F913931"/>
    <w:rsid w:val="7F915207"/>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62B41"/>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99"/>
    <w:pPr>
      <w:ind w:firstLine="420" w:firstLineChars="200"/>
    </w:pPr>
  </w:style>
  <w:style w:type="character" w:styleId="100">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7.bin"/><Relationship Id="rId25" Type="http://schemas.openxmlformats.org/officeDocument/2006/relationships/image" Target="media/image15.emf"/><Relationship Id="rId24" Type="http://schemas.openxmlformats.org/officeDocument/2006/relationships/image" Target="media/image14.emf"/><Relationship Id="rId23" Type="http://schemas.openxmlformats.org/officeDocument/2006/relationships/image" Target="media/image13.wmf"/><Relationship Id="rId22" Type="http://schemas.openxmlformats.org/officeDocument/2006/relationships/oleObject" Target="embeddings/oleObject6.bin"/><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wmf"/><Relationship Id="rId17" Type="http://schemas.openxmlformats.org/officeDocument/2006/relationships/oleObject" Target="embeddings/oleObject5.bin"/><Relationship Id="rId16" Type="http://schemas.openxmlformats.org/officeDocument/2006/relationships/image" Target="media/image8.emf"/><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56D8B-2B45-46BE-A8F6-3EB8AB61DC8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4048</Words>
  <Characters>23080</Characters>
  <Lines>192</Lines>
  <Paragraphs>54</Paragraphs>
  <TotalTime>13</TotalTime>
  <ScaleCrop>false</ScaleCrop>
  <LinksUpToDate>false</LinksUpToDate>
  <CharactersWithSpaces>27074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MM</cp:lastModifiedBy>
  <dcterms:modified xsi:type="dcterms:W3CDTF">2021-04-06T09:24:59Z</dcterms:modified>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